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9DDB6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left"/>
        <w:outlineLvl w:val="0"/>
        <w:rPr>
          <w:rFonts w:hint="default" w:ascii="黑体" w:hAnsi="宋体" w:eastAsia="黑体" w:cs="黑体"/>
          <w:kern w:val="2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附件5</w:t>
      </w:r>
    </w:p>
    <w:p w14:paraId="64DDFD8F">
      <w:pPr>
        <w:keepNext w:val="0"/>
        <w:keepLines w:val="0"/>
        <w:widowControl/>
        <w:suppressLineNumbers w:val="0"/>
        <w:overflowPunct w:val="0"/>
        <w:spacing w:before="0" w:beforeAutospacing="0" w:after="0" w:afterAutospacing="0" w:line="560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44"/>
          <w:szCs w:val="44"/>
          <w:lang w:val="en-US" w:eastAsia="zh-CN" w:bidi="ar"/>
        </w:rPr>
        <w:t xml:space="preserve"> </w:t>
      </w:r>
    </w:p>
    <w:p w14:paraId="49199258">
      <w:pPr>
        <w:keepNext w:val="0"/>
        <w:keepLines w:val="0"/>
        <w:widowControl/>
        <w:suppressLineNumbers w:val="0"/>
        <w:overflowPunct w:val="0"/>
        <w:spacing w:before="0" w:beforeAutospacing="0" w:after="0" w:afterAutospacing="0" w:line="560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河北省电力系统安全风险</w:t>
      </w:r>
    </w:p>
    <w:p w14:paraId="04F7883D">
      <w:pPr>
        <w:keepNext w:val="0"/>
        <w:keepLines w:val="0"/>
        <w:widowControl/>
        <w:suppressLineNumbers w:val="0"/>
        <w:overflowPunct w:val="0"/>
        <w:spacing w:before="0" w:beforeAutospacing="0" w:after="0" w:afterAutospacing="0" w:line="560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专项评估报告模板</w:t>
      </w:r>
    </w:p>
    <w:p w14:paraId="4D69CFAE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 xml:space="preserve"> </w:t>
      </w:r>
    </w:p>
    <w:p w14:paraId="3A19FB33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前言</w:t>
      </w:r>
    </w:p>
    <w:p w14:paraId="67589A1C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楷体_GB2312" w:eastAsia="楷体_GB2312" w:cs="楷体_GB2312"/>
          <w:kern w:val="2"/>
          <w:sz w:val="32"/>
          <w:szCs w:val="32"/>
        </w:rPr>
      </w:pPr>
      <w:r>
        <w:rPr>
          <w:rFonts w:hint="eastAsia" w:ascii="楷体_GB2312" w:hAnsi="Times New Roman" w:eastAsia="楷体_GB2312" w:cs="楷体_GB2312"/>
          <w:kern w:val="2"/>
          <w:sz w:val="32"/>
          <w:szCs w:val="32"/>
          <w:lang w:val="en-US" w:eastAsia="zh-CN" w:bidi="ar"/>
        </w:rPr>
        <w:t>（一）</w:t>
      </w:r>
      <w:r>
        <w:rPr>
          <w:rFonts w:hint="eastAsia" w:ascii="楷体_GB2312" w:eastAsia="楷体_GB2312" w:cs="楷体_GB2312"/>
          <w:kern w:val="2"/>
          <w:sz w:val="32"/>
          <w:szCs w:val="32"/>
          <w:lang w:val="en-US" w:eastAsia="zh-CN" w:bidi="ar"/>
        </w:rPr>
        <w:t>报告主要内容</w:t>
      </w:r>
    </w:p>
    <w:p w14:paraId="1182C98B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介绍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报告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主要研究内容及章节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等。</w:t>
      </w:r>
    </w:p>
    <w:p w14:paraId="7FED6821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楷体_GB2312" w:eastAsia="楷体_GB2312" w:cs="楷体_GB2312"/>
          <w:kern w:val="2"/>
          <w:sz w:val="32"/>
          <w:szCs w:val="32"/>
        </w:rPr>
      </w:pPr>
      <w:r>
        <w:rPr>
          <w:rFonts w:hint="eastAsia" w:ascii="楷体_GB2312" w:hAnsi="Times New Roman" w:eastAsia="楷体_GB2312" w:cs="楷体_GB2312"/>
          <w:kern w:val="2"/>
          <w:sz w:val="32"/>
          <w:szCs w:val="32"/>
          <w:lang w:val="en-US" w:eastAsia="zh-CN" w:bidi="ar"/>
        </w:rPr>
        <w:t>（二）设计依据</w:t>
      </w:r>
    </w:p>
    <w:p w14:paraId="5F8CE9D8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设计相关规范规程。</w:t>
      </w:r>
    </w:p>
    <w:p w14:paraId="7EA0D2EF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一、项目概况</w:t>
      </w:r>
    </w:p>
    <w:p w14:paraId="0F512980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楷体_GB2312" w:eastAsia="楷体_GB2312" w:cs="楷体_GB2312"/>
          <w:kern w:val="2"/>
          <w:sz w:val="32"/>
          <w:szCs w:val="32"/>
        </w:rPr>
      </w:pPr>
      <w:r>
        <w:rPr>
          <w:rFonts w:hint="eastAsia" w:ascii="楷体_GB2312" w:hAnsi="Times New Roman" w:eastAsia="楷体_GB2312" w:cs="楷体_GB2312"/>
          <w:kern w:val="2"/>
          <w:sz w:val="32"/>
          <w:szCs w:val="32"/>
          <w:lang w:val="en-US" w:eastAsia="zh-CN" w:bidi="ar"/>
        </w:rPr>
        <w:t>（一）项目概况</w:t>
      </w:r>
    </w:p>
    <w:p w14:paraId="4DC9FA69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简要介绍项目情况，包括但不限于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项目建设单位、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项目位置、项目类型（并网型或离网型）、建设内容、建设时序和规模（包含负荷、电源、储能、直连线路、接网工程等）等基本信息。</w:t>
      </w:r>
    </w:p>
    <w:p w14:paraId="4246DFB7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楷体_GB2312" w:eastAsia="楷体_GB2312" w:cs="楷体_GB2312"/>
          <w:kern w:val="2"/>
          <w:sz w:val="32"/>
          <w:szCs w:val="32"/>
        </w:rPr>
      </w:pPr>
      <w:r>
        <w:rPr>
          <w:rFonts w:hint="eastAsia" w:ascii="楷体_GB2312" w:hAnsi="Times New Roman" w:eastAsia="楷体_GB2312" w:cs="楷体_GB2312"/>
          <w:kern w:val="2"/>
          <w:sz w:val="32"/>
          <w:szCs w:val="32"/>
          <w:lang w:val="en-US" w:eastAsia="zh-CN" w:bidi="ar"/>
        </w:rPr>
        <w:t>（二）</w:t>
      </w:r>
      <w:r>
        <w:rPr>
          <w:rFonts w:hint="eastAsia" w:ascii="楷体_GB2312" w:eastAsia="楷体_GB2312" w:cs="楷体_GB2312"/>
          <w:kern w:val="2"/>
          <w:sz w:val="32"/>
          <w:szCs w:val="32"/>
          <w:lang w:val="en-US" w:eastAsia="zh-CN" w:bidi="ar"/>
        </w:rPr>
        <w:t>项目组网汇集</w:t>
      </w:r>
      <w:r>
        <w:rPr>
          <w:rFonts w:hint="eastAsia" w:ascii="楷体_GB2312" w:hAnsi="Times New Roman" w:eastAsia="楷体_GB2312" w:cs="楷体_GB2312"/>
          <w:kern w:val="2"/>
          <w:sz w:val="32"/>
          <w:szCs w:val="32"/>
          <w:lang w:val="en-US" w:eastAsia="zh-CN" w:bidi="ar"/>
        </w:rPr>
        <w:t>方案</w:t>
      </w:r>
    </w:p>
    <w:p w14:paraId="70074BE6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详细介绍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项目内部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电源侧和负荷侧间的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汇集方案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，包括但不限于送出方式（如架空线路或直埋等）、送出线路长度、线路参数等。</w:t>
      </w:r>
    </w:p>
    <w:p w14:paraId="66FEBA08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二、电力系统概况</w:t>
      </w:r>
    </w:p>
    <w:p w14:paraId="10123CD8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楷体_GB2312" w:eastAsia="楷体_GB2312" w:cs="楷体_GB2312"/>
          <w:kern w:val="2"/>
          <w:sz w:val="32"/>
          <w:szCs w:val="32"/>
        </w:rPr>
      </w:pPr>
      <w:r>
        <w:rPr>
          <w:rFonts w:hint="eastAsia" w:ascii="楷体_GB2312" w:hAnsi="Times New Roman" w:eastAsia="楷体_GB2312" w:cs="楷体_GB2312"/>
          <w:kern w:val="2"/>
          <w:sz w:val="32"/>
          <w:szCs w:val="32"/>
          <w:lang w:val="en-US" w:eastAsia="zh-CN" w:bidi="ar"/>
        </w:rPr>
        <w:t>（一）电网概况</w:t>
      </w:r>
    </w:p>
    <w:p w14:paraId="72789BCF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简要分析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项目所在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电网情况。</w:t>
      </w:r>
    </w:p>
    <w:p w14:paraId="1C20E4DF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楷体_GB2312" w:eastAsia="楷体_GB2312" w:cs="楷体_GB2312"/>
          <w:kern w:val="2"/>
          <w:sz w:val="32"/>
          <w:szCs w:val="32"/>
        </w:rPr>
      </w:pPr>
      <w:r>
        <w:rPr>
          <w:rFonts w:hint="eastAsia" w:ascii="楷体_GB2312" w:hAnsi="Times New Roman" w:eastAsia="楷体_GB2312" w:cs="楷体_GB2312"/>
          <w:kern w:val="2"/>
          <w:sz w:val="32"/>
          <w:szCs w:val="32"/>
          <w:lang w:val="en-US" w:eastAsia="zh-CN" w:bidi="ar"/>
        </w:rPr>
        <w:t>（二）项目属地电网概况</w:t>
      </w:r>
    </w:p>
    <w:p w14:paraId="2D21A5AE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简要分析项目属地电网情况。</w:t>
      </w:r>
    </w:p>
    <w:p w14:paraId="16093C9C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三、接入系统方案</w:t>
      </w:r>
    </w:p>
    <w:p w14:paraId="61A994AD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介绍220千伏及以上电压等级并网项目的接入系统方案，并附接入系统方案示意图。</w:t>
      </w:r>
    </w:p>
    <w:p w14:paraId="39C74BF4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四、场站建设规模</w:t>
      </w:r>
    </w:p>
    <w:p w14:paraId="2D31373A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介绍项目内部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电源侧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升压站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和负荷侧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变电站的主要建设规模，包括终期及本期的主变规模、出线规模、主接线型式、无功补充设备的型式及容量等。并附各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相关厂站的主接线示意图。</w:t>
      </w:r>
    </w:p>
    <w:p w14:paraId="20F3A391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五、电气计算分析</w:t>
      </w:r>
    </w:p>
    <w:p w14:paraId="2B16D55B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楷体_GB2312" w:eastAsia="楷体_GB2312" w:cs="楷体_GB2312"/>
          <w:kern w:val="2"/>
          <w:sz w:val="32"/>
          <w:szCs w:val="32"/>
        </w:rPr>
      </w:pPr>
      <w:r>
        <w:rPr>
          <w:rFonts w:hint="eastAsia" w:ascii="楷体_GB2312" w:hAnsi="Times New Roman" w:eastAsia="楷体_GB2312" w:cs="楷体_GB2312"/>
          <w:kern w:val="2"/>
          <w:sz w:val="32"/>
          <w:szCs w:val="32"/>
          <w:lang w:val="en-US" w:eastAsia="zh-CN" w:bidi="ar"/>
        </w:rPr>
        <w:t>（一）潮流计算分析</w:t>
      </w:r>
    </w:p>
    <w:p w14:paraId="0FFE1604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1.计算原则</w:t>
      </w:r>
    </w:p>
    <w:p w14:paraId="21B070D1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说明计算采用的软件，根据项目的分期投产情况，确定各期的计算水平年、电网接线方式、计算方式及各类电源出力原则等。</w:t>
      </w:r>
    </w:p>
    <w:p w14:paraId="3444C231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2.潮流计算结果</w:t>
      </w:r>
    </w:p>
    <w:p w14:paraId="0DBEC258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描述各计算水平年的潮流计算结果，并附结果示意图。</w:t>
      </w:r>
    </w:p>
    <w:p w14:paraId="251B176A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楷体_GB2312" w:eastAsia="楷体_GB2312" w:cs="楷体_GB2312"/>
          <w:kern w:val="2"/>
          <w:sz w:val="32"/>
          <w:szCs w:val="32"/>
        </w:rPr>
      </w:pPr>
      <w:r>
        <w:rPr>
          <w:rFonts w:hint="eastAsia" w:ascii="楷体_GB2312" w:hAnsi="Times New Roman" w:eastAsia="楷体_GB2312" w:cs="楷体_GB2312"/>
          <w:kern w:val="2"/>
          <w:sz w:val="32"/>
          <w:szCs w:val="32"/>
          <w:lang w:val="en-US" w:eastAsia="zh-CN" w:bidi="ar"/>
        </w:rPr>
        <w:t>（二）短路电流计算</w:t>
      </w:r>
    </w:p>
    <w:p w14:paraId="74CAFEE5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1.计算原则</w:t>
      </w:r>
    </w:p>
    <w:p w14:paraId="419606ED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说明计算采用的软件、计算水平年和远景年、电网接线方式等。</w:t>
      </w:r>
    </w:p>
    <w:p w14:paraId="738207A9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2.短路计算结果</w:t>
      </w:r>
    </w:p>
    <w:p w14:paraId="29072F63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分析绿电直连项目投产后对附近相关厂站短路水平的影响，并附短路计算结果。</w:t>
      </w:r>
    </w:p>
    <w:p w14:paraId="75753875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楷体_GB2312" w:eastAsia="楷体_GB2312" w:cs="楷体_GB2312"/>
          <w:kern w:val="2"/>
          <w:sz w:val="32"/>
          <w:szCs w:val="32"/>
        </w:rPr>
      </w:pPr>
      <w:r>
        <w:rPr>
          <w:rFonts w:hint="eastAsia" w:ascii="楷体_GB2312" w:hAnsi="Times New Roman" w:eastAsia="楷体_GB2312" w:cs="楷体_GB2312"/>
          <w:kern w:val="2"/>
          <w:sz w:val="32"/>
          <w:szCs w:val="32"/>
          <w:lang w:val="en-US" w:eastAsia="zh-CN" w:bidi="ar"/>
        </w:rPr>
        <w:t>（三）稳定计算分析</w:t>
      </w:r>
    </w:p>
    <w:p w14:paraId="0273A47F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1.计算原则</w:t>
      </w:r>
    </w:p>
    <w:p w14:paraId="5DA2D9FA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说明计算采用的软件、计算水平年、电网接线方式、计算方式等。</w:t>
      </w:r>
    </w:p>
    <w:p w14:paraId="54326779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2.稳定计算结果</w:t>
      </w:r>
    </w:p>
    <w:p w14:paraId="1D6E04F2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描述各计算水平年的稳定</w:t>
      </w:r>
      <w:bookmarkStart w:id="0" w:name="_GoBack"/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计算</w:t>
      </w:r>
      <w:bookmarkEnd w:id="0"/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结果，并附结果示意图。</w:t>
      </w:r>
    </w:p>
    <w:p w14:paraId="2AC666CF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楷体_GB2312" w:eastAsia="楷体_GB2312" w:cs="楷体_GB2312"/>
          <w:kern w:val="2"/>
          <w:sz w:val="32"/>
          <w:szCs w:val="32"/>
        </w:rPr>
      </w:pPr>
      <w:r>
        <w:rPr>
          <w:rFonts w:hint="eastAsia" w:ascii="楷体_GB2312" w:hAnsi="Times New Roman" w:eastAsia="楷体_GB2312" w:cs="楷体_GB2312"/>
          <w:kern w:val="2"/>
          <w:sz w:val="32"/>
          <w:szCs w:val="32"/>
          <w:lang w:val="en-US" w:eastAsia="zh-CN" w:bidi="ar"/>
        </w:rPr>
        <w:t>（四）多场站短路比计算分析</w:t>
      </w:r>
    </w:p>
    <w:p w14:paraId="60284B2B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1.计算原则</w:t>
      </w:r>
    </w:p>
    <w:p w14:paraId="3FD49DA9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说明计算采用的软件、计算水平年、电网接线方式、计算方式等。</w:t>
      </w:r>
    </w:p>
    <w:p w14:paraId="1F9F0D1D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2.短路比计算结果</w:t>
      </w:r>
    </w:p>
    <w:p w14:paraId="19B748DC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描述各计算水平年的短路比计算结果。</w:t>
      </w:r>
    </w:p>
    <w:p w14:paraId="740E0039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黑体" w:hAnsi="宋体" w:eastAsia="黑体" w:cs="黑体"/>
          <w:kern w:val="2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六、安全稳定自动装置配置</w:t>
      </w:r>
    </w:p>
    <w:p w14:paraId="65E677B4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根据安全稳定评估结论，若要加装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安全稳定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自动装置，则需明确安全稳定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系统实施方案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，并详细描述安全稳定系统配置方案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。</w:t>
      </w:r>
    </w:p>
    <w:p w14:paraId="550167A5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七、结论及应对措施</w:t>
      </w:r>
    </w:p>
    <w:p w14:paraId="75377B08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60" w:lineRule="exact"/>
        <w:ind w:left="0" w:right="0" w:firstLine="640" w:firstLineChars="200"/>
        <w:jc w:val="left"/>
        <w:rPr>
          <w:rFonts w:hint="eastAsia" w:ascii="仿宋_GB2312" w:hAnsi="Calibri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给出评估结论，分析潜在风险，并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总结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应对措施。</w:t>
      </w:r>
    </w:p>
    <w:p w14:paraId="23879CFA"/>
    <w:sectPr>
      <w:footerReference r:id="rId3" w:type="default"/>
      <w:pgSz w:w="11906" w:h="16838"/>
      <w:pgMar w:top="2098" w:right="1474" w:bottom="1985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8715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06E67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06E67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254DEF"/>
    <w:rsid w:val="0A1E4643"/>
    <w:rsid w:val="10B63935"/>
    <w:rsid w:val="45BD7EF6"/>
    <w:rsid w:val="67254DEF"/>
    <w:rsid w:val="6B420DC9"/>
    <w:rsid w:val="BDDF92AB"/>
    <w:rsid w:val="F7DF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Office_12.1.2.22227_F1E327BC-269C-435d-A152-05C5408002CA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2026-07-09T01:23:00Z</dcterms:created>
  <dc:creator>王昊</dc:creator>
  <cp:lastModifiedBy>user</cp:lastModifiedBy>
  <dcterms:modified xsi:type="dcterms:W3CDTF">2026-09-21T16:18:05Z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2052-12.1.2.22227</vt:lpwstr>
  </property>
  <property fmtid="{D5CDD505-2E9C-101B-9397-08002B2CF9AE}" pid="3" name="ICV">
    <vt:lpwstr>9DE7A9A6D03F4037A0C7148FF3D2BAC6</vt:lpwstr>
  </property>
  <property fmtid="{D5CDD505-2E9C-101B-9397-08002B2CF9AE}" pid="4" name="KSOTemplateDocerSaveRecord">
    <vt:lpwstr>eyJoZGlkIjoiYmEwZjAzYjEwZGRiYmUzODJlMjhhMGZjMGExOTlkYzkiLCJ1c2VySWQiOiIyNTAxMTk2ODQifQ==</vt:lpwstr>
  </property>
</Properties>
</file>