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39E74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/>
        <w:jc w:val="left"/>
        <w:outlineLvl w:val="0"/>
        <w:rPr>
          <w:rFonts w:hint="default" w:ascii="黑体" w:hAnsi="宋体" w:eastAsia="黑体" w:cs="黑体"/>
          <w:kern w:val="2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附件4</w:t>
      </w:r>
    </w:p>
    <w:p w14:paraId="6D898CDF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/>
        <w:jc w:val="center"/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lang w:val="en-US" w:eastAsia="zh-CN" w:bidi="ar"/>
        </w:rPr>
        <w:t xml:space="preserve"> </w:t>
      </w:r>
    </w:p>
    <w:p w14:paraId="4D468179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/>
        <w:jc w:val="center"/>
        <w:outlineLvl w:val="0"/>
        <w:rPr>
          <w:rFonts w:hint="eastAsia" w:ascii="方正小标宋_GBK" w:hAnsi="方正小标宋_GBK" w:eastAsia="方正小标宋_GBK" w:cs="方正小标宋_GBK"/>
          <w:spacing w:val="-6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pacing w:val="-6"/>
          <w:kern w:val="2"/>
          <w:sz w:val="44"/>
          <w:szCs w:val="44"/>
          <w:lang w:val="en-US" w:eastAsia="zh-CN" w:bidi="ar"/>
        </w:rPr>
        <w:t>多用户绿电直连项目用电调节和</w:t>
      </w:r>
    </w:p>
    <w:p w14:paraId="1E8C9136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/>
        <w:jc w:val="center"/>
        <w:outlineLvl w:val="0"/>
        <w:rPr>
          <w:rFonts w:hint="eastAsia" w:ascii="方正小标宋_GBK" w:hAnsi="方正小标宋_GBK" w:eastAsia="方正小标宋_GBK" w:cs="方正小标宋_GBK"/>
          <w:spacing w:val="-6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pacing w:val="-6"/>
          <w:kern w:val="2"/>
          <w:sz w:val="44"/>
          <w:szCs w:val="44"/>
          <w:lang w:val="en-US" w:eastAsia="zh-CN" w:bidi="ar"/>
        </w:rPr>
        <w:t>有序供应预案编制参考大纲</w:t>
      </w:r>
    </w:p>
    <w:p w14:paraId="47150F62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2EC73912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outlineLvl w:val="0"/>
        <w:rPr>
          <w:rFonts w:hint="default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一、项目概况</w:t>
      </w:r>
    </w:p>
    <w:p w14:paraId="0121BA26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说明项目建设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点、项目类型（并网型/离网型）、负荷类型（增量/存量）、建设内容、投资主体及构成、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>供电等级要求、是否允许断电、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投建模式（自投、合资、合同能源管理）等。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 xml:space="preserve">   </w:t>
      </w:r>
    </w:p>
    <w:p w14:paraId="45B40E83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outlineLvl w:val="0"/>
        <w:rPr>
          <w:rFonts w:hint="default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二、应急场景识别分级</w:t>
      </w:r>
    </w:p>
    <w:p w14:paraId="66087F47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从电源侧、负荷侧、储能侧、线路侧等多个维度梳理各类应急场景，明确各场景的触发条件、影响范围及风险等级。按照事故影响范围、停电时长、经济损失及安全风险程度，将应急响应划分等级，明确各等级的量化分级标准、响应启动权限及信息上报时限。</w:t>
      </w:r>
    </w:p>
    <w:p w14:paraId="6444F11B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outlineLvl w:val="0"/>
        <w:rPr>
          <w:rFonts w:hint="default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三、内部用电调节方案</w:t>
      </w:r>
    </w:p>
    <w:p w14:paraId="48B9FCFD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default" w:ascii="Times New Roman" w:hAnsi="Times New Roman" w:eastAsia="楷体_GB2312" w:cs="Times New Roman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（二）内部智能微电网建设方案</w:t>
      </w:r>
    </w:p>
    <w:p w14:paraId="2E96F844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阐述内部智能微电网建设情况与源网荷储自平衡、自调节能力实现路径，明确多用户小时级绿电溯源技术方案。结合电力市场建设情况，具备“报量报价”参与电力现货市场的能力。</w:t>
      </w:r>
      <w:bookmarkStart w:id="0" w:name="_GoBack"/>
      <w:bookmarkEnd w:id="0"/>
    </w:p>
    <w:p w14:paraId="4DCB1859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（三）核心调节方案及措施</w:t>
      </w:r>
    </w:p>
    <w:p w14:paraId="315B9271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针对不同应急场景下引起的新能源出力不足、公共电网中断、消纳困难时段禁止反送电等场景，分别制定内部电力调度方案。</w:t>
      </w:r>
    </w:p>
    <w:p w14:paraId="07A00D2D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outlineLvl w:val="0"/>
        <w:rPr>
          <w:rFonts w:hint="default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四、内部有序供应方案</w:t>
      </w:r>
    </w:p>
    <w:p w14:paraId="15BE02E8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outlineLvl w:val="1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（一）负荷分级与保供优先级</w:t>
      </w:r>
    </w:p>
    <w:p w14:paraId="7D158B36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明确项目内部负荷分级依据，开展负荷分类管理（例如明确一级重要保障负荷、二级重要保障负荷、三级可调节负荷范围等），列明负荷分类管理清单，确定保供顺序。</w:t>
      </w:r>
    </w:p>
    <w:p w14:paraId="46D7D45F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outlineLvl w:val="1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（二）分级有序用电安排</w:t>
      </w:r>
    </w:p>
    <w:p w14:paraId="4266D66B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明确不同级别负荷有序用电规则，明确限电序位、削减比例、执行步骤、操作节点，确保公平、可执行、可监管。</w:t>
      </w:r>
    </w:p>
    <w:p w14:paraId="24A2E832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明确出现影响公共电网安全的突发紧急情况时，项目整体和内部电源接受电力调度机构统一调度，按要求参与需求响应、有序用电、紧急负荷控制，相关设备及负荷纳入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河北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电网紧急负荷控制序位表。</w:t>
      </w:r>
    </w:p>
    <w:p w14:paraId="59ED8943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outlineLvl w:val="1"/>
        <w:rPr>
          <w:rFonts w:hint="eastAsia" w:ascii="楷体_GB2312" w:eastAsia="楷体_GB2312" w:cs="楷体_GB2312"/>
          <w:kern w:val="2"/>
          <w:sz w:val="32"/>
          <w:szCs w:val="32"/>
        </w:rPr>
      </w:pPr>
      <w:r>
        <w:rPr>
          <w:rFonts w:hint="eastAsia" w:ascii="楷体_GB2312" w:hAnsi="Times New Roman" w:eastAsia="楷体_GB2312" w:cs="楷体_GB2312"/>
          <w:kern w:val="2"/>
          <w:sz w:val="32"/>
          <w:szCs w:val="32"/>
          <w:lang w:val="en-US" w:eastAsia="zh-CN" w:bidi="ar"/>
        </w:rPr>
        <w:t>（三）供电恢复与动态调整</w:t>
      </w:r>
    </w:p>
    <w:p w14:paraId="4A993A58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说明故障排除、供电能力恢复后的负荷恢复次序、启动条件与调控流程，明确项目主责单位与电网调度机构、内部电源及负荷用户间的信息互通与协同调控方式。</w:t>
      </w:r>
    </w:p>
    <w:p w14:paraId="25CAA2BB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outlineLvl w:val="0"/>
        <w:rPr>
          <w:rFonts w:hint="default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五、安全与经济责任</w:t>
      </w:r>
    </w:p>
    <w:p w14:paraId="6A1E1996"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按照事故影响范围、停电时长、经济损失及安全风险程度确定的应急响应等级，明确内部相关安全和经济责任，确定相应的经济补偿标准、违约责任，并签订安全和经济责任协议。</w:t>
      </w:r>
    </w:p>
    <w:p w14:paraId="609F22C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9475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17E2B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17E2B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22503"/>
    <w:rsid w:val="0E5D65BA"/>
    <w:rsid w:val="239FA7D0"/>
    <w:rsid w:val="26F64CE5"/>
    <w:rsid w:val="28022503"/>
    <w:rsid w:val="2E9A7D50"/>
    <w:rsid w:val="363D3F6D"/>
    <w:rsid w:val="389830AE"/>
    <w:rsid w:val="41A13274"/>
    <w:rsid w:val="493C72C2"/>
    <w:rsid w:val="4A641E98"/>
    <w:rsid w:val="5DA941F7"/>
    <w:rsid w:val="744011C6"/>
    <w:rsid w:val="7F427615"/>
    <w:rsid w:val="BBFA329A"/>
    <w:rsid w:val="DBE7C6B9"/>
    <w:rsid w:val="F7AF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1200</Words>
  <Characters>1203</Characters>
  <Lines>0</Lines>
  <Paragraphs>0</Paragraphs>
  <TotalTime>5</TotalTime>
  <ScaleCrop>false</ScaleCrop>
  <LinksUpToDate>false</LinksUpToDate>
  <CharactersWithSpaces>1205</CharactersWithSpaces>
  <Application>WPS Office_12.1.2.22227_F1E327BC-269C-435d-A152-05C5408002CA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2026-07-09T17:24:00Z</dcterms:created>
  <dc:creator>王昊</dc:creator>
  <cp:lastModifiedBy>user</cp:lastModifiedBy>
  <cp:lastPrinted>2026-07-29T10:09:00Z</cp:lastPrinted>
  <dcterms:modified xsi:type="dcterms:W3CDTF">2026-09-21T16:18:20Z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2052-12.1.2.22227</vt:lpwstr>
  </property>
  <property fmtid="{D5CDD505-2E9C-101B-9397-08002B2CF9AE}" pid="3" name="ICV">
    <vt:lpwstr>2955BCD3697146599136D5062F8B8A0C_13</vt:lpwstr>
  </property>
  <property fmtid="{D5CDD505-2E9C-101B-9397-08002B2CF9AE}" pid="4" name="KSOTemplateDocerSaveRecord">
    <vt:lpwstr>eyJoZGlkIjoiY2MwNDYyOGNmOWI4MDNmODRhZmM2MWRiODViMzM2MDYiLCJ1c2VySWQiOiI0Mzk1MzI0OTAifQ==</vt:lpwstr>
  </property>
</Properties>
</file>