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A2F32">
      <w:pPr>
        <w:pStyle w:val="5"/>
        <w:shd w:val="clear" w:color="auto" w:fill="FFFFFF"/>
        <w:spacing w:beforeAutospacing="0" w:afterAutospacing="0" w:line="560" w:lineRule="exact"/>
        <w:jc w:val="both"/>
        <w:outlineLvl w:val="0"/>
        <w:rPr>
          <w:rStyle w:val="8"/>
          <w:rFonts w:hint="eastAsia" w:ascii="Times New Roman" w:hAnsi="Times New Roman" w:eastAsia="黑体"/>
          <w:b w:val="0"/>
          <w:bCs/>
          <w:color w:val="000000" w:themeColor="text1"/>
          <w:sz w:val="32"/>
          <w:szCs w:val="32"/>
          <w:shd w:val="clear" w:color="auto" w:fill="FFFFFF"/>
          <w:lang w:eastAsia="zh-CN"/>
          <w14:textFill>
            <w14:solidFill>
              <w14:schemeClr w14:val="tx1"/>
            </w14:solidFill>
          </w14:textFill>
        </w:rPr>
      </w:pPr>
      <w:r>
        <w:rPr>
          <w:rStyle w:val="8"/>
          <w:rFonts w:ascii="Times New Roman" w:hAnsi="Times New Roman" w:eastAsia="黑体"/>
          <w:b w:val="0"/>
          <w:bCs/>
          <w:color w:val="000000" w:themeColor="text1"/>
          <w:sz w:val="32"/>
          <w:szCs w:val="32"/>
          <w:shd w:val="clear" w:color="auto" w:fill="FFFFFF"/>
          <w14:textFill>
            <w14:solidFill>
              <w14:schemeClr w14:val="tx1"/>
            </w14:solidFill>
          </w14:textFill>
        </w:rPr>
        <w:t>附件</w:t>
      </w:r>
      <w:r>
        <w:rPr>
          <w:rStyle w:val="8"/>
          <w:rFonts w:hint="eastAsia" w:ascii="Times New Roman" w:hAnsi="Times New Roman" w:eastAsia="黑体"/>
          <w:b w:val="0"/>
          <w:bCs/>
          <w:color w:val="000000" w:themeColor="text1"/>
          <w:sz w:val="32"/>
          <w:szCs w:val="32"/>
          <w:shd w:val="clear" w:color="auto" w:fill="FFFFFF"/>
          <w:lang w:val="en-US" w:eastAsia="zh-CN"/>
          <w14:textFill>
            <w14:solidFill>
              <w14:schemeClr w14:val="tx1"/>
            </w14:solidFill>
          </w14:textFill>
        </w:rPr>
        <w:t>2</w:t>
      </w:r>
    </w:p>
    <w:p w14:paraId="0E149372">
      <w:pPr>
        <w:pStyle w:val="5"/>
        <w:shd w:val="clear" w:color="auto" w:fill="FFFFFF"/>
        <w:spacing w:beforeAutospacing="0" w:afterAutospacing="0" w:line="560" w:lineRule="exact"/>
        <w:ind w:firstLine="420"/>
        <w:jc w:val="both"/>
        <w:rPr>
          <w:rStyle w:val="8"/>
          <w:rFonts w:ascii="Times New Roman" w:hAnsi="Times New Roman" w:eastAsia="仿宋"/>
          <w:color w:val="000000" w:themeColor="text1"/>
          <w:sz w:val="32"/>
          <w:szCs w:val="32"/>
          <w:shd w:val="clear" w:color="auto" w:fill="FFFFFF"/>
          <w14:textFill>
            <w14:solidFill>
              <w14:schemeClr w14:val="tx1"/>
            </w14:solidFill>
          </w14:textFill>
        </w:rPr>
      </w:pPr>
    </w:p>
    <w:p w14:paraId="474EC968">
      <w:pPr>
        <w:pStyle w:val="5"/>
        <w:shd w:val="clear" w:color="auto" w:fill="FFFFFF"/>
        <w:spacing w:beforeAutospacing="0" w:afterAutospacing="0" w:line="560" w:lineRule="exact"/>
        <w:jc w:val="center"/>
        <w:outlineLvl w:val="0"/>
        <w:rPr>
          <w:rStyle w:val="8"/>
          <w:rFonts w:ascii="Times New Roman" w:hAnsi="Times New Roman" w:eastAsia="方正小标宋简体"/>
          <w:b w:val="0"/>
          <w:bCs/>
          <w:color w:val="000000" w:themeColor="text1"/>
          <w:sz w:val="44"/>
          <w:szCs w:val="44"/>
          <w:shd w:val="clear" w:color="auto" w:fill="FFFFFF"/>
          <w14:textFill>
            <w14:solidFill>
              <w14:schemeClr w14:val="tx1"/>
            </w14:solidFill>
          </w14:textFill>
        </w:rPr>
      </w:pPr>
      <w:r>
        <w:rPr>
          <w:rStyle w:val="8"/>
          <w:rFonts w:hint="eastAsia" w:ascii="Times New Roman" w:hAnsi="Times New Roman" w:eastAsia="方正小标宋简体"/>
          <w:b w:val="0"/>
          <w:bCs/>
          <w:color w:val="000000" w:themeColor="text1"/>
          <w:sz w:val="44"/>
          <w:szCs w:val="44"/>
          <w:shd w:val="clear" w:color="auto" w:fill="FFFFFF"/>
          <w:lang w:val="en-US" w:eastAsia="zh-CN"/>
          <w14:textFill>
            <w14:solidFill>
              <w14:schemeClr w14:val="tx1"/>
            </w14:solidFill>
          </w14:textFill>
        </w:rPr>
        <w:t>多用户</w:t>
      </w:r>
      <w:r>
        <w:rPr>
          <w:rStyle w:val="8"/>
          <w:rFonts w:ascii="Times New Roman" w:hAnsi="Times New Roman" w:eastAsia="方正小标宋简体"/>
          <w:b w:val="0"/>
          <w:bCs/>
          <w:color w:val="000000" w:themeColor="text1"/>
          <w:sz w:val="44"/>
          <w:szCs w:val="44"/>
          <w:shd w:val="clear" w:color="auto" w:fill="FFFFFF"/>
          <w14:textFill>
            <w14:solidFill>
              <w14:schemeClr w14:val="tx1"/>
            </w14:solidFill>
          </w14:textFill>
        </w:rPr>
        <w:t>绿电直连项目实施方案编制</w:t>
      </w:r>
    </w:p>
    <w:p w14:paraId="5B0973BB">
      <w:pPr>
        <w:pStyle w:val="5"/>
        <w:shd w:val="clear" w:color="auto" w:fill="FFFFFF"/>
        <w:spacing w:beforeAutospacing="0" w:afterAutospacing="0" w:line="560" w:lineRule="exact"/>
        <w:jc w:val="center"/>
        <w:outlineLvl w:val="0"/>
        <w:rPr>
          <w:rStyle w:val="8"/>
          <w:rFonts w:ascii="Times New Roman" w:hAnsi="Times New Roman" w:eastAsia="方正小标宋简体"/>
          <w:b w:val="0"/>
          <w:bCs/>
          <w:color w:val="000000" w:themeColor="text1"/>
          <w:sz w:val="44"/>
          <w:szCs w:val="44"/>
          <w:shd w:val="clear" w:color="auto" w:fill="FFFFFF"/>
          <w14:textFill>
            <w14:solidFill>
              <w14:schemeClr w14:val="tx1"/>
            </w14:solidFill>
          </w14:textFill>
        </w:rPr>
      </w:pPr>
      <w:r>
        <w:rPr>
          <w:rStyle w:val="8"/>
          <w:rFonts w:ascii="Times New Roman" w:hAnsi="Times New Roman" w:eastAsia="方正小标宋简体"/>
          <w:b w:val="0"/>
          <w:bCs/>
          <w:color w:val="000000" w:themeColor="text1"/>
          <w:sz w:val="44"/>
          <w:szCs w:val="44"/>
          <w:shd w:val="clear" w:color="auto" w:fill="FFFFFF"/>
          <w14:textFill>
            <w14:solidFill>
              <w14:schemeClr w14:val="tx1"/>
            </w14:solidFill>
          </w14:textFill>
        </w:rPr>
        <w:t>参考大纲</w:t>
      </w:r>
    </w:p>
    <w:p w14:paraId="200F4FF5">
      <w:pPr>
        <w:pStyle w:val="5"/>
        <w:shd w:val="clear" w:color="auto" w:fill="FFFFFF"/>
        <w:spacing w:beforeAutospacing="0" w:afterAutospacing="0" w:line="560" w:lineRule="exact"/>
        <w:jc w:val="center"/>
        <w:rPr>
          <w:rStyle w:val="8"/>
          <w:rFonts w:ascii="Times New Roman" w:hAnsi="Times New Roman" w:eastAsia="方正小标宋简体"/>
          <w:b w:val="0"/>
          <w:bCs/>
          <w:color w:val="000000" w:themeColor="text1"/>
          <w:sz w:val="44"/>
          <w:szCs w:val="44"/>
          <w:shd w:val="clear" w:color="auto" w:fill="FFFFFF"/>
          <w14:textFill>
            <w14:solidFill>
              <w14:schemeClr w14:val="tx1"/>
            </w14:solidFill>
          </w14:textFill>
        </w:rPr>
      </w:pPr>
    </w:p>
    <w:p w14:paraId="34FC4B14">
      <w:pPr>
        <w:pStyle w:val="5"/>
        <w:numPr>
          <w:ilvl w:val="0"/>
          <w:numId w:val="0"/>
        </w:numPr>
        <w:shd w:val="clear" w:color="auto" w:fill="FFFFFF"/>
        <w:spacing w:beforeAutospacing="0" w:afterAutospacing="0" w:line="560" w:lineRule="exact"/>
        <w:ind w:firstLine="640" w:firstLineChars="200"/>
        <w:jc w:val="both"/>
        <w:outlineLvl w:val="0"/>
        <w:rPr>
          <w:rFonts w:ascii="Times New Roman" w:hAnsi="Times New Roman" w:eastAsia="黑体"/>
          <w:color w:val="000000" w:themeColor="text1"/>
          <w:sz w:val="32"/>
          <w:szCs w:val="32"/>
          <w14:textFill>
            <w14:solidFill>
              <w14:schemeClr w14:val="tx1"/>
            </w14:solidFill>
          </w14:textFill>
        </w:rPr>
      </w:pPr>
      <w:r>
        <w:rPr>
          <w:rStyle w:val="8"/>
          <w:rFonts w:hint="eastAsia" w:ascii="Times New Roman" w:hAnsi="Times New Roman" w:eastAsia="黑体"/>
          <w:b w:val="0"/>
          <w:bCs/>
          <w:color w:val="000000" w:themeColor="text1"/>
          <w:sz w:val="32"/>
          <w:szCs w:val="32"/>
          <w:shd w:val="clear" w:color="auto" w:fill="FFFFFF"/>
          <w:lang w:val="en-US" w:eastAsia="zh-CN"/>
          <w14:textFill>
            <w14:solidFill>
              <w14:schemeClr w14:val="tx1"/>
            </w14:solidFill>
          </w14:textFill>
        </w:rPr>
        <w:t>一、</w:t>
      </w:r>
      <w:r>
        <w:rPr>
          <w:rStyle w:val="8"/>
          <w:rFonts w:ascii="Times New Roman" w:hAnsi="Times New Roman" w:eastAsia="黑体"/>
          <w:b w:val="0"/>
          <w:bCs/>
          <w:color w:val="000000" w:themeColor="text1"/>
          <w:sz w:val="32"/>
          <w:szCs w:val="32"/>
          <w:shd w:val="clear" w:color="auto" w:fill="FFFFFF"/>
          <w14:textFill>
            <w14:solidFill>
              <w14:schemeClr w14:val="tx1"/>
            </w14:solidFill>
          </w14:textFill>
        </w:rPr>
        <w:t>项目概况</w:t>
      </w:r>
    </w:p>
    <w:p w14:paraId="03D7F4C4">
      <w:pPr>
        <w:pStyle w:val="5"/>
        <w:numPr>
          <w:ilvl w:val="0"/>
          <w:numId w:val="0"/>
        </w:numPr>
        <w:shd w:val="clear" w:color="auto" w:fill="FFFFFF"/>
        <w:spacing w:beforeAutospacing="0" w:afterAutospacing="0" w:line="560" w:lineRule="exact"/>
        <w:ind w:firstLine="640" w:firstLineChars="200"/>
        <w:jc w:val="both"/>
        <w:outlineLvl w:val="1"/>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（一）企业概况</w:t>
      </w:r>
    </w:p>
    <w:p w14:paraId="01977793">
      <w:pPr>
        <w:pStyle w:val="5"/>
        <w:shd w:val="clear" w:color="auto" w:fill="FFFFFF"/>
        <w:spacing w:beforeAutospacing="0" w:afterAutospacing="0" w:line="560" w:lineRule="exact"/>
        <w:ind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简述负荷、电源企业基本信息、发展现状、财务状况、企业信用和总体能力，有关政府批复和金融机构支持等情况。</w:t>
      </w:r>
    </w:p>
    <w:p w14:paraId="6AA9F0E4">
      <w:pPr>
        <w:pStyle w:val="5"/>
        <w:shd w:val="clear" w:color="auto" w:fill="FFFFFF"/>
        <w:spacing w:beforeAutospacing="0" w:afterAutospacing="0" w:line="560" w:lineRule="exact"/>
        <w:ind w:firstLine="640" w:firstLineChars="200"/>
        <w:jc w:val="both"/>
        <w:outlineLvl w:val="1"/>
        <w:rPr>
          <w:rFonts w:hint="eastAsia" w:ascii="Times New Roman" w:hAnsi="Times New Roman" w:eastAsia="楷体"/>
          <w:color w:val="000000" w:themeColor="text1"/>
          <w:sz w:val="32"/>
          <w:szCs w:val="32"/>
          <w:lang w:val="en-US" w:eastAsia="zh-CN"/>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二</w:t>
      </w: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项目</w:t>
      </w:r>
      <w:r>
        <w:rPr>
          <w:rFonts w:ascii="Times New Roman" w:hAnsi="Times New Roman" w:eastAsia="楷体"/>
          <w:color w:val="000000" w:themeColor="text1"/>
          <w:sz w:val="32"/>
          <w:szCs w:val="32"/>
          <w:shd w:val="clear" w:color="auto" w:fill="FFFFFF"/>
          <w14:textFill>
            <w14:solidFill>
              <w14:schemeClr w14:val="tx1"/>
            </w14:solidFill>
          </w14:textFill>
        </w:rPr>
        <w:t>基本</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情况</w:t>
      </w:r>
    </w:p>
    <w:p w14:paraId="1E307848">
      <w:pPr>
        <w:pStyle w:val="5"/>
        <w:shd w:val="clear" w:color="auto" w:fill="FFFFFF"/>
        <w:spacing w:beforeAutospacing="0" w:afterAutospacing="0" w:line="560" w:lineRule="exact"/>
        <w:ind w:firstLine="640" w:firstLineChars="200"/>
        <w:jc w:val="both"/>
        <w:rPr>
          <w:rFonts w:ascii="仿宋_GB2312" w:hAnsi="Times New Roman" w:eastAsia="仿宋_GB2312"/>
          <w:color w:val="000000" w:themeColor="text1"/>
          <w:sz w:val="32"/>
          <w:szCs w:val="32"/>
          <w:shd w:val="clear" w:color="auto" w:fill="FFFFFF"/>
          <w14:textFill>
            <w14:solidFill>
              <w14:schemeClr w14:val="tx1"/>
            </w14:solidFill>
          </w14:textFill>
        </w:rPr>
      </w:pPr>
      <w:r>
        <w:rPr>
          <w:rFonts w:hint="eastAsia" w:ascii="仿宋_GB2312" w:hAnsi="Times New Roman" w:eastAsia="仿宋_GB2312" w:cs="仿宋_GB2312"/>
          <w:kern w:val="2"/>
          <w:sz w:val="32"/>
          <w:szCs w:val="32"/>
          <w:lang w:val="en-US" w:eastAsia="zh-CN" w:bidi="ar"/>
        </w:rPr>
        <w:t>说明项目建设地点、项目类型（并网型/离网型）、建设内容和规模（包含负荷、电源、储能、直连线路、运营平台、变电设施及接网工程等）。明确电源种类及负荷类型（存量/增量）。明确项目主责单位、项目投资主体构成、投资规模、投建模式（自投、合资、合同能源管理等）、各方权利责任等。</w:t>
      </w:r>
    </w:p>
    <w:p w14:paraId="4D00BCD5">
      <w:pPr>
        <w:pStyle w:val="5"/>
        <w:shd w:val="clear" w:color="auto" w:fill="FFFFFF"/>
        <w:spacing w:beforeAutospacing="0" w:afterAutospacing="0" w:line="560" w:lineRule="exact"/>
        <w:ind w:firstLine="640" w:firstLineChars="200"/>
        <w:jc w:val="both"/>
        <w:outlineLvl w:val="1"/>
        <w:rPr>
          <w:rFonts w:ascii="Times New Roman" w:hAnsi="Times New Roman" w:eastAsia="楷体"/>
          <w:color w:val="000000" w:themeColor="text1"/>
          <w:sz w:val="32"/>
          <w:szCs w:val="32"/>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三</w:t>
      </w:r>
      <w:r>
        <w:rPr>
          <w:rFonts w:ascii="Times New Roman" w:hAnsi="Times New Roman" w:eastAsia="楷体"/>
          <w:color w:val="000000" w:themeColor="text1"/>
          <w:sz w:val="32"/>
          <w:szCs w:val="32"/>
          <w:shd w:val="clear" w:color="auto" w:fill="FFFFFF"/>
          <w14:textFill>
            <w14:solidFill>
              <w14:schemeClr w14:val="tx1"/>
            </w14:solidFill>
          </w14:textFill>
        </w:rPr>
        <w:t>）建设时序</w:t>
      </w:r>
    </w:p>
    <w:p w14:paraId="0E63B264">
      <w:pPr>
        <w:keepNext w:val="0"/>
        <w:keepLines w:val="0"/>
        <w:widowControl w:val="0"/>
        <w:suppressLineNumbers w:val="0"/>
        <w:snapToGrid w:val="0"/>
        <w:spacing w:before="0" w:beforeAutospacing="0" w:after="0" w:afterAutospacing="0" w:line="560" w:lineRule="exact"/>
        <w:ind w:left="0" w:right="0" w:firstLine="640" w:firstLineChars="200"/>
        <w:jc w:val="both"/>
        <w:rPr>
          <w:rFonts w:hint="eastAsia" w:ascii="仿宋_GB2312" w:hAnsi="Times New Roman" w:eastAsia="仿宋_GB2312"/>
          <w:color w:val="000000" w:themeColor="text1"/>
          <w:sz w:val="32"/>
          <w:szCs w:val="32"/>
          <w:shd w:val="clear" w:color="auto" w:fill="FFFFFF"/>
          <w14:textFill>
            <w14:solidFill>
              <w14:schemeClr w14:val="tx1"/>
            </w14:solidFill>
          </w14:textFill>
        </w:rPr>
      </w:pPr>
      <w:r>
        <w:rPr>
          <w:rFonts w:hint="eastAsia" w:ascii="仿宋_GB2312" w:hAnsi="Times New Roman" w:eastAsia="仿宋_GB2312" w:cs="仿宋_GB2312"/>
          <w:kern w:val="2"/>
          <w:sz w:val="32"/>
          <w:szCs w:val="32"/>
          <w:shd w:val="clear" w:color="auto" w:fill="FFFFFF"/>
          <w:lang w:val="en-US" w:eastAsia="zh-CN" w:bidi="ar"/>
        </w:rPr>
        <w:t>统筹考虑电源建设进度、负荷形成规模及电网接入完成节点，明确项目的建成投运时间，包括电源、负荷、储能(如有)及直连线路等建设进度计划</w:t>
      </w:r>
      <w:r>
        <w:rPr>
          <w:rFonts w:hint="eastAsia" w:ascii="仿宋_GB2312" w:hAnsi="Times New Roman" w:eastAsia="仿宋_GB2312"/>
          <w:color w:val="000000" w:themeColor="text1"/>
          <w:sz w:val="32"/>
          <w:szCs w:val="32"/>
          <w:shd w:val="clear" w:color="auto" w:fill="FFFFFF"/>
          <w14:textFill>
            <w14:solidFill>
              <w14:schemeClr w14:val="tx1"/>
            </w14:solidFill>
          </w14:textFill>
        </w:rPr>
        <w:t>以及拟投产时间。</w:t>
      </w:r>
    </w:p>
    <w:p w14:paraId="084BC59D">
      <w:pPr>
        <w:pStyle w:val="5"/>
        <w:shd w:val="clear" w:color="auto" w:fill="FFFFFF"/>
        <w:spacing w:beforeAutospacing="0" w:afterAutospacing="0" w:line="560" w:lineRule="exact"/>
        <w:ind w:firstLine="640" w:firstLineChars="200"/>
        <w:jc w:val="both"/>
        <w:outlineLvl w:val="0"/>
        <w:rPr>
          <w:rStyle w:val="8"/>
          <w:rFonts w:ascii="Times New Roman" w:hAnsi="Times New Roman" w:eastAsia="黑体"/>
          <w:b w:val="0"/>
          <w:bCs/>
          <w:color w:val="000000" w:themeColor="text1"/>
          <w:sz w:val="32"/>
          <w:szCs w:val="32"/>
          <w:shd w:val="clear" w:color="auto" w:fill="FFFFFF"/>
          <w14:textFill>
            <w14:solidFill>
              <w14:schemeClr w14:val="tx1"/>
            </w14:solidFill>
          </w14:textFill>
        </w:rPr>
      </w:pPr>
      <w:r>
        <w:rPr>
          <w:rStyle w:val="8"/>
          <w:rFonts w:ascii="Times New Roman" w:hAnsi="Times New Roman" w:eastAsia="黑体"/>
          <w:b w:val="0"/>
          <w:bCs/>
          <w:color w:val="000000" w:themeColor="text1"/>
          <w:sz w:val="32"/>
          <w:szCs w:val="32"/>
          <w:shd w:val="clear" w:color="auto" w:fill="FFFFFF"/>
          <w14:textFill>
            <w14:solidFill>
              <w14:schemeClr w14:val="tx1"/>
            </w14:solidFill>
          </w14:textFill>
        </w:rPr>
        <w:t>二、建设条件及方案</w:t>
      </w:r>
    </w:p>
    <w:p w14:paraId="647E2F97">
      <w:pPr>
        <w:pStyle w:val="5"/>
        <w:shd w:val="clear" w:color="auto" w:fill="FFFFFF"/>
        <w:spacing w:beforeAutospacing="0" w:afterAutospacing="0" w:line="560" w:lineRule="exact"/>
        <w:ind w:firstLine="640" w:firstLineChars="200"/>
        <w:jc w:val="both"/>
        <w:outlineLvl w:val="1"/>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（一）</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整体设计</w:t>
      </w:r>
    </w:p>
    <w:p w14:paraId="2FA2585E">
      <w:pPr>
        <w:pStyle w:val="5"/>
        <w:shd w:val="clear" w:color="auto" w:fill="FFFFFF"/>
        <w:spacing w:beforeAutospacing="0" w:afterAutospacing="0" w:line="560" w:lineRule="exact"/>
        <w:ind w:firstLine="640" w:firstLineChars="200"/>
        <w:jc w:val="both"/>
        <w:rPr>
          <w:rFonts w:hint="default" w:ascii="仿宋_GB2312" w:hAnsi="Times New Roman" w:eastAsia="仿宋_GB2312"/>
          <w:color w:val="000000" w:themeColor="text1"/>
          <w:sz w:val="32"/>
          <w:szCs w:val="32"/>
          <w:shd w:val="clear" w:color="auto" w:fill="FFFFFF"/>
          <w:lang w:val="en-US" w:eastAsia="zh-CN"/>
          <w14:textFill>
            <w14:solidFill>
              <w14:schemeClr w14:val="tx1"/>
            </w14:solidFill>
          </w14:textFill>
        </w:rPr>
      </w:pPr>
      <w:r>
        <w:rPr>
          <w:rFonts w:hint="eastAsia" w:ascii="仿宋_GB2312" w:hAnsi="Times New Roman" w:eastAsia="仿宋_GB2312"/>
          <w:color w:val="000000" w:themeColor="text1"/>
          <w:sz w:val="32"/>
          <w:szCs w:val="32"/>
          <w:shd w:val="clear" w:color="auto" w:fill="FFFFFF"/>
          <w:lang w:val="en-US" w:eastAsia="zh-CN"/>
          <w14:textFill>
            <w14:solidFill>
              <w14:schemeClr w14:val="tx1"/>
            </w14:solidFill>
          </w14:textFill>
        </w:rPr>
        <w:t>统筹编制电源、负荷、储能、直连线路及接入系统的整体化建设方案，明确系统风险评估、电能质量管理和安全措施，做到同步设计、统一建设、同步投产。</w:t>
      </w:r>
    </w:p>
    <w:p w14:paraId="42EC1758">
      <w:pPr>
        <w:pStyle w:val="5"/>
        <w:shd w:val="clear" w:color="auto" w:fill="FFFFFF"/>
        <w:spacing w:beforeAutospacing="0" w:afterAutospacing="0" w:line="560" w:lineRule="exact"/>
        <w:ind w:firstLine="640" w:firstLineChars="200"/>
        <w:jc w:val="both"/>
        <w:outlineLvl w:val="1"/>
        <w:rPr>
          <w:rFonts w:ascii="Times New Roman" w:hAnsi="Times New Roman" w:eastAsia="楷体"/>
          <w:color w:val="000000" w:themeColor="text1"/>
          <w:sz w:val="32"/>
          <w:szCs w:val="32"/>
          <w:shd w:val="clear" w:color="auto" w:fill="FFFFFF"/>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二</w:t>
      </w:r>
      <w:r>
        <w:rPr>
          <w:rFonts w:ascii="Times New Roman" w:hAnsi="Times New Roman" w:eastAsia="楷体"/>
          <w:color w:val="000000" w:themeColor="text1"/>
          <w:sz w:val="32"/>
          <w:szCs w:val="32"/>
          <w:shd w:val="clear" w:color="auto" w:fill="FFFFFF"/>
          <w14:textFill>
            <w14:solidFill>
              <w14:schemeClr w14:val="tx1"/>
            </w14:solidFill>
          </w14:textFill>
        </w:rPr>
        <w:t>）负荷方面</w:t>
      </w:r>
    </w:p>
    <w:p w14:paraId="5E7154E3">
      <w:pPr>
        <w:keepNext w:val="0"/>
        <w:keepLines w:val="0"/>
        <w:widowControl w:val="0"/>
        <w:suppressLineNumbers w:val="0"/>
        <w:snapToGrid w:val="0"/>
        <w:spacing w:before="0" w:beforeAutospacing="0" w:after="0" w:afterAutospacing="0" w:line="560" w:lineRule="exact"/>
        <w:ind w:left="0" w:right="0" w:firstLine="640" w:firstLineChars="200"/>
        <w:jc w:val="both"/>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shd w:val="clear" w:color="auto" w:fill="FFFFFF"/>
          <w14:textFill>
            <w14:solidFill>
              <w14:schemeClr w14:val="tx1"/>
            </w14:solidFill>
          </w14:textFill>
        </w:rPr>
        <w:t>说明负荷现状所属行业、规模、用能需求、建设时序、</w:t>
      </w:r>
      <w:r>
        <w:rPr>
          <w:rFonts w:hint="eastAsia" w:ascii="仿宋_GB2312" w:hAnsi="Times New Roman" w:eastAsia="仿宋_GB2312" w:cs="仿宋_GB2312"/>
          <w:kern w:val="2"/>
          <w:sz w:val="32"/>
          <w:szCs w:val="32"/>
          <w:lang w:val="en-US" w:eastAsia="zh-CN" w:bidi="ar"/>
        </w:rPr>
        <w:t>负荷形成基础及有关投资协议、能源管理制度落实情况、</w:t>
      </w:r>
      <w:r>
        <w:rPr>
          <w:rFonts w:hint="eastAsia" w:ascii="仿宋_GB2312" w:hAnsi="Times New Roman" w:eastAsia="仿宋_GB2312"/>
          <w:color w:val="000000" w:themeColor="text1"/>
          <w:sz w:val="32"/>
          <w:szCs w:val="32"/>
          <w:shd w:val="clear" w:color="auto" w:fill="FFFFFF"/>
          <w14:textFill>
            <w14:solidFill>
              <w14:schemeClr w14:val="tx1"/>
            </w14:solidFill>
          </w14:textFill>
        </w:rPr>
        <w:t>建设（前期）或运营情况等基本情况。</w:t>
      </w:r>
      <w:r>
        <w:rPr>
          <w:rFonts w:hint="eastAsia" w:ascii="仿宋_GB2312" w:hAnsi="Times New Roman" w:eastAsia="仿宋_GB2312" w:cs="仿宋_GB2312"/>
          <w:kern w:val="2"/>
          <w:sz w:val="32"/>
          <w:szCs w:val="32"/>
          <w:lang w:val="en-US" w:eastAsia="zh-CN" w:bidi="ar"/>
        </w:rPr>
        <w:t>绿色电力消费需求的重点用能和碳排放企业需提供相关用能、碳排放证明材料，或市级主管部门出具的支撑性材料；</w:t>
      </w:r>
      <w:bookmarkStart w:id="0" w:name="_GoBack"/>
      <w:bookmarkEnd w:id="0"/>
      <w:r>
        <w:rPr>
          <w:rFonts w:hint="eastAsia" w:ascii="仿宋_GB2312" w:hAnsi="Times New Roman" w:eastAsia="仿宋_GB2312" w:cs="仿宋_GB2312"/>
          <w:kern w:val="2"/>
          <w:sz w:val="32"/>
          <w:szCs w:val="32"/>
          <w:lang w:val="en-US" w:eastAsia="zh-CN" w:bidi="ar"/>
        </w:rPr>
        <w:t>出口外向型企业</w:t>
      </w:r>
      <w:r>
        <w:rPr>
          <w:rFonts w:hint="default" w:ascii="Times New Roman" w:hAnsi="Times New Roman" w:eastAsia="仿宋_GB2312" w:cs="Times New Roman"/>
          <w:sz w:val="32"/>
          <w:szCs w:val="32"/>
          <w:highlight w:val="none"/>
          <w:lang w:val="en-US" w:eastAsia="zh-CN"/>
        </w:rPr>
        <w:t>需提供含有产品出口经营业务的营业执照，以及海外客户合约或海关出口货物报关单等相关佐证材料</w:t>
      </w:r>
      <w:r>
        <w:rPr>
          <w:rFonts w:hint="eastAsia" w:ascii="Times New Roman" w:hAnsi="Times New Roman" w:eastAsia="仿宋_GB2312" w:cs="Times New Roman"/>
          <w:sz w:val="32"/>
          <w:szCs w:val="32"/>
          <w:highlight w:val="none"/>
          <w:lang w:val="en-US" w:eastAsia="zh-CN"/>
        </w:rPr>
        <w:t>，上下游企业需提供与出口外向型企业合约；</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通过调减自备电厂出力的企业</w:t>
      </w:r>
      <w:r>
        <w:rPr>
          <w:rFonts w:hint="eastAsia" w:ascii="仿宋_GB2312" w:hAnsi="Times New Roman" w:eastAsia="仿宋_GB2312"/>
          <w:color w:val="000000" w:themeColor="text1"/>
          <w:sz w:val="32"/>
          <w:szCs w:val="32"/>
          <w:shd w:val="clear" w:color="auto" w:fill="FFFFFF"/>
          <w14:textFill>
            <w14:solidFill>
              <w14:schemeClr w14:val="tx1"/>
            </w14:solidFill>
          </w14:textFill>
        </w:rPr>
        <w:t>需说明可再生能源发展基金清缴情况（如有）</w:t>
      </w:r>
      <w:r>
        <w:rPr>
          <w:rFonts w:hint="eastAsia" w:ascii="仿宋_GB2312" w:hAnsi="Times New Roman" w:eastAsia="仿宋_GB2312"/>
          <w:color w:val="000000" w:themeColor="text1"/>
          <w:sz w:val="32"/>
          <w:szCs w:val="32"/>
          <w:shd w:val="clear" w:color="auto" w:fill="FFFFFF"/>
          <w:lang w:eastAsia="zh-CN"/>
          <w14:textFill>
            <w14:solidFill>
              <w14:schemeClr w14:val="tx1"/>
            </w14:solidFill>
          </w14:textFill>
        </w:rPr>
        <w:t>，并提供相关佐证材料</w:t>
      </w:r>
      <w:r>
        <w:rPr>
          <w:rFonts w:hint="eastAsia" w:ascii="仿宋_GB2312" w:hAnsi="Times New Roman" w:eastAsia="仿宋_GB2312"/>
          <w:color w:val="000000" w:themeColor="text1"/>
          <w:sz w:val="32"/>
          <w:szCs w:val="32"/>
          <w:shd w:val="clear" w:color="auto" w:fill="FFFFFF"/>
          <w14:textFill>
            <w14:solidFill>
              <w14:schemeClr w14:val="tx1"/>
            </w14:solidFill>
          </w14:textFill>
        </w:rPr>
        <w:t>。</w:t>
      </w:r>
      <w:r>
        <w:rPr>
          <w:rFonts w:hint="eastAsia" w:ascii="仿宋_GB2312" w:hAnsi="Times New Roman" w:eastAsia="仿宋_GB2312"/>
          <w:color w:val="000000" w:themeColor="text1"/>
          <w:sz w:val="32"/>
          <w:szCs w:val="32"/>
          <w:shd w:val="clear" w:color="auto" w:fill="FFFFFF"/>
          <w:lang w:val="en-US" w:eastAsia="zh-CN"/>
          <w14:textFill>
            <w14:solidFill>
              <w14:schemeClr w14:val="tx1"/>
            </w14:solidFill>
          </w14:textFill>
        </w:rPr>
        <w:t>同时</w:t>
      </w:r>
      <w:r>
        <w:rPr>
          <w:rFonts w:hint="eastAsia" w:ascii="仿宋_GB2312" w:hAnsi="Times New Roman" w:eastAsia="仿宋_GB2312" w:cs="仿宋_GB2312"/>
          <w:kern w:val="2"/>
          <w:sz w:val="32"/>
          <w:szCs w:val="32"/>
          <w:lang w:val="en-US" w:eastAsia="zh-CN" w:bidi="ar"/>
        </w:rPr>
        <w:t>提供项目主责单位与电源、负荷等内部主体就产权划分、运行维护、平衡责任、内部费用标准和结算、违约责任等事项的协议材料。</w:t>
      </w:r>
    </w:p>
    <w:p w14:paraId="3F5CEF51">
      <w:pPr>
        <w:pStyle w:val="5"/>
        <w:shd w:val="clear" w:color="auto" w:fill="FFFFFF"/>
        <w:spacing w:beforeAutospacing="0" w:afterAutospacing="0" w:line="560" w:lineRule="exact"/>
        <w:ind w:firstLine="640" w:firstLineChars="200"/>
        <w:jc w:val="both"/>
        <w:outlineLvl w:val="1"/>
        <w:rPr>
          <w:rFonts w:ascii="Times New Roman" w:hAnsi="Times New Roman" w:eastAsia="楷体"/>
          <w:color w:val="000000" w:themeColor="text1"/>
          <w:sz w:val="32"/>
          <w:szCs w:val="32"/>
          <w:shd w:val="clear" w:color="auto" w:fill="FFFFFF"/>
          <w14:textFill>
            <w14:solidFill>
              <w14:schemeClr w14:val="tx1"/>
            </w14:solidFill>
          </w14:textFill>
        </w:rPr>
      </w:pPr>
      <w:r>
        <w:rPr>
          <w:rFonts w:hint="eastAsia" w:ascii="Times New Roman" w:hAnsi="Times New Roman" w:eastAsia="楷体"/>
          <w:color w:val="000000" w:themeColor="text1"/>
          <w:sz w:val="32"/>
          <w:szCs w:val="32"/>
          <w:shd w:val="clear" w:color="auto" w:fill="FFFFFF"/>
          <w:lang w:eastAsia="zh-CN"/>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三</w:t>
      </w:r>
      <w:r>
        <w:rPr>
          <w:rFonts w:hint="eastAsia" w:ascii="Times New Roman" w:hAnsi="Times New Roman" w:eastAsia="楷体"/>
          <w:color w:val="000000" w:themeColor="text1"/>
          <w:sz w:val="32"/>
          <w:szCs w:val="32"/>
          <w:shd w:val="clear" w:color="auto" w:fill="FFFFFF"/>
          <w:lang w:eastAsia="zh-CN"/>
          <w14:textFill>
            <w14:solidFill>
              <w14:schemeClr w14:val="tx1"/>
            </w14:solidFill>
          </w14:textFill>
        </w:rPr>
        <w:t>）</w:t>
      </w:r>
      <w:r>
        <w:rPr>
          <w:rFonts w:ascii="Times New Roman" w:hAnsi="Times New Roman" w:eastAsia="楷体"/>
          <w:color w:val="000000" w:themeColor="text1"/>
          <w:sz w:val="32"/>
          <w:szCs w:val="32"/>
          <w:shd w:val="clear" w:color="auto" w:fill="FFFFFF"/>
          <w14:textFill>
            <w14:solidFill>
              <w14:schemeClr w14:val="tx1"/>
            </w14:solidFill>
          </w14:textFill>
        </w:rPr>
        <w:t>电源方面</w:t>
      </w:r>
    </w:p>
    <w:p w14:paraId="0CB84044">
      <w:pPr>
        <w:pStyle w:val="5"/>
        <w:shd w:val="clear" w:color="auto" w:fill="FFFFFF"/>
        <w:spacing w:beforeAutospacing="0" w:afterAutospacing="0" w:line="560" w:lineRule="exact"/>
        <w:ind w:firstLine="640" w:firstLineChars="200"/>
        <w:jc w:val="both"/>
        <w:rPr>
          <w:rFonts w:hint="eastAsia" w:ascii="仿宋_GB2312" w:hAnsi="Times New Roman" w:eastAsia="仿宋_GB2312"/>
          <w:color w:val="000000" w:themeColor="text1"/>
          <w:sz w:val="32"/>
          <w:szCs w:val="32"/>
          <w:shd w:val="clear" w:color="auto" w:fill="FFFFFF"/>
          <w:lang w:val="en-US" w:eastAsia="zh-CN"/>
          <w14:textFill>
            <w14:solidFill>
              <w14:schemeClr w14:val="tx1"/>
            </w14:solidFill>
          </w14:textFill>
        </w:rPr>
      </w:pPr>
      <w:r>
        <w:rPr>
          <w:rFonts w:hint="eastAsia" w:ascii="仿宋_GB2312" w:hAnsi="Times New Roman" w:eastAsia="仿宋_GB2312"/>
          <w:color w:val="000000" w:themeColor="text1"/>
          <w:sz w:val="32"/>
          <w:szCs w:val="32"/>
          <w:shd w:val="clear" w:color="auto" w:fill="FFFFFF"/>
          <w14:textFill>
            <w14:solidFill>
              <w14:schemeClr w14:val="tx1"/>
            </w14:solidFill>
          </w14:textFill>
        </w:rPr>
        <w:t>明确</w:t>
      </w:r>
      <w:r>
        <w:rPr>
          <w:rFonts w:hint="eastAsia" w:ascii="仿宋_GB2312" w:hAnsi="Times New Roman" w:eastAsia="仿宋_GB2312" w:cs="仿宋_GB2312"/>
          <w:kern w:val="2"/>
          <w:sz w:val="32"/>
          <w:szCs w:val="32"/>
          <w:lang w:val="en-US" w:eastAsia="zh-CN" w:bidi="ar"/>
        </w:rPr>
        <w:t>电源属性（存量/增量）、</w:t>
      </w:r>
      <w:r>
        <w:rPr>
          <w:rFonts w:hint="eastAsia" w:ascii="仿宋_GB2312" w:hAnsi="Times New Roman" w:eastAsia="仿宋_GB2312"/>
          <w:color w:val="000000" w:themeColor="text1"/>
          <w:sz w:val="32"/>
          <w:szCs w:val="32"/>
          <w:shd w:val="clear" w:color="auto" w:fill="FFFFFF"/>
          <w14:textFill>
            <w14:solidFill>
              <w14:schemeClr w14:val="tx1"/>
            </w14:solidFill>
          </w14:textFill>
        </w:rPr>
        <w:t>电源类型、项目建设时序、装机规模、场址布局、土地利用、生态环保</w:t>
      </w:r>
      <w:r>
        <w:rPr>
          <w:rFonts w:hint="eastAsia" w:ascii="仿宋_GB2312" w:hAnsi="Times New Roman" w:eastAsia="仿宋_GB2312"/>
          <w:color w:val="000000" w:themeColor="text1"/>
          <w:sz w:val="32"/>
          <w:szCs w:val="32"/>
          <w:shd w:val="clear" w:color="auto" w:fill="FFFFFF"/>
          <w:lang w:eastAsia="zh-CN"/>
          <w14:textFill>
            <w14:solidFill>
              <w14:schemeClr w14:val="tx1"/>
            </w14:solidFill>
          </w14:textFill>
        </w:rPr>
        <w:t>、</w:t>
      </w:r>
      <w:r>
        <w:rPr>
          <w:rFonts w:hint="eastAsia" w:ascii="仿宋_GB2312" w:hAnsi="Times New Roman" w:eastAsia="仿宋_GB2312" w:cs="仿宋_GB2312"/>
          <w:kern w:val="2"/>
          <w:sz w:val="32"/>
          <w:szCs w:val="32"/>
          <w:lang w:val="en-US" w:eastAsia="zh-CN" w:bidi="ar"/>
        </w:rPr>
        <w:t>接入条件、审批手续办理情况</w:t>
      </w:r>
      <w:r>
        <w:rPr>
          <w:rFonts w:hint="eastAsia" w:ascii="仿宋_GB2312" w:hAnsi="Times New Roman" w:eastAsia="仿宋_GB2312"/>
          <w:color w:val="000000" w:themeColor="text1"/>
          <w:sz w:val="32"/>
          <w:szCs w:val="32"/>
          <w:shd w:val="clear" w:color="auto" w:fill="FFFFFF"/>
          <w14:textFill>
            <w14:solidFill>
              <w14:schemeClr w14:val="tx1"/>
            </w14:solidFill>
          </w14:textFill>
        </w:rPr>
        <w:t>等内容。</w:t>
      </w:r>
      <w:r>
        <w:rPr>
          <w:rFonts w:hint="eastAsia" w:ascii="仿宋_GB2312" w:hAnsi="Times New Roman" w:eastAsia="仿宋_GB2312"/>
          <w:color w:val="000000" w:themeColor="text1"/>
          <w:sz w:val="32"/>
          <w:szCs w:val="32"/>
          <w:shd w:val="clear" w:color="auto" w:fill="FFFFFF"/>
          <w:lang w:val="en-US" w:eastAsia="zh-CN"/>
          <w14:textFill>
            <w14:solidFill>
              <w14:schemeClr w14:val="tx1"/>
            </w14:solidFill>
          </w14:textFill>
        </w:rPr>
        <w:t>说明</w:t>
      </w:r>
      <w:r>
        <w:rPr>
          <w:rFonts w:hint="eastAsia" w:ascii="仿宋_GB2312" w:hAnsi="Times New Roman" w:eastAsia="仿宋_GB2312" w:cs="仿宋_GB2312"/>
          <w:kern w:val="2"/>
          <w:sz w:val="32"/>
          <w:szCs w:val="32"/>
          <w:lang w:val="en-US" w:eastAsia="zh-CN" w:bidi="ar"/>
        </w:rPr>
        <w:t>项目是否已纳入省级开发建设方等。</w:t>
      </w:r>
    </w:p>
    <w:p w14:paraId="5AE9BABD">
      <w:pPr>
        <w:pStyle w:val="5"/>
        <w:shd w:val="clear" w:color="auto" w:fill="FFFFFF"/>
        <w:spacing w:beforeAutospacing="0" w:afterAutospacing="0" w:line="560" w:lineRule="exact"/>
        <w:ind w:left="420" w:leftChars="200" w:firstLine="217" w:firstLineChars="68"/>
        <w:jc w:val="both"/>
        <w:outlineLvl w:val="1"/>
        <w:rPr>
          <w:rFonts w:ascii="Times New Roman" w:hAnsi="Times New Roman" w:eastAsia="楷体"/>
          <w:color w:val="000000" w:themeColor="text1"/>
          <w:sz w:val="32"/>
          <w:szCs w:val="32"/>
          <w:shd w:val="clear" w:color="auto" w:fill="FFFFFF"/>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四</w:t>
      </w:r>
      <w:r>
        <w:rPr>
          <w:rFonts w:ascii="Times New Roman" w:hAnsi="Times New Roman" w:eastAsia="楷体"/>
          <w:color w:val="000000" w:themeColor="text1"/>
          <w:sz w:val="32"/>
          <w:szCs w:val="32"/>
          <w:shd w:val="clear" w:color="auto" w:fill="FFFFFF"/>
          <w14:textFill>
            <w14:solidFill>
              <w14:schemeClr w14:val="tx1"/>
            </w14:solidFill>
          </w14:textFill>
        </w:rPr>
        <w:t>）直连线路方面</w:t>
      </w:r>
    </w:p>
    <w:p w14:paraId="3766CEAD">
      <w:pPr>
        <w:pStyle w:val="5"/>
        <w:shd w:val="clear" w:color="auto" w:fill="FFFFFF"/>
        <w:spacing w:beforeAutospacing="0" w:afterAutospacing="0" w:line="56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sz w:val="32"/>
          <w:szCs w:val="32"/>
        </w:rPr>
        <w:t>明确直连线路的建设主体（负荷或电源企业），明确线路路径、电压等级、产权划分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安全距离</w:t>
      </w:r>
      <w:r>
        <w:rPr>
          <w:rFonts w:ascii="Times New Roman" w:hAnsi="Times New Roman" w:eastAsia="仿宋_GB2312"/>
          <w:sz w:val="32"/>
          <w:szCs w:val="32"/>
        </w:rPr>
        <w:t>和导线选型等</w:t>
      </w:r>
      <w:r>
        <w:rPr>
          <w:rFonts w:hint="eastAsia" w:ascii="Times New Roman" w:hAnsi="Times New Roman" w:eastAsia="仿宋_GB2312"/>
          <w:sz w:val="32"/>
          <w:szCs w:val="32"/>
          <w:lang w:eastAsia="zh-CN"/>
        </w:rPr>
        <w:t>。</w:t>
      </w:r>
      <w:r>
        <w:rPr>
          <w:rFonts w:hint="eastAsia" w:ascii="仿宋_GB2312" w:hAnsi="Times New Roman" w:eastAsia="仿宋_GB2312" w:cs="仿宋_GB2312"/>
          <w:kern w:val="2"/>
          <w:sz w:val="32"/>
          <w:szCs w:val="32"/>
          <w:lang w:val="en-US" w:eastAsia="zh-CN" w:bidi="ar"/>
        </w:rPr>
        <w:t>直连线路应尽量减少线路交叉跨越，确需跨越的，完成交叉跨越安全风险评估，制定相应安全技术措施。</w:t>
      </w:r>
      <w:r>
        <w:rPr>
          <w:rFonts w:ascii="Times New Roman" w:hAnsi="Times New Roman" w:eastAsia="仿宋_GB2312"/>
          <w:sz w:val="32"/>
          <w:szCs w:val="32"/>
        </w:rPr>
        <w:t>说明直连线路和接入系统与当地能源电力和国土空间等规划衔接情况</w:t>
      </w:r>
      <w:r>
        <w:rPr>
          <w:rFonts w:hint="eastAsia" w:ascii="Times New Roman" w:hAnsi="Times New Roman" w:eastAsia="仿宋_GB2312"/>
          <w:sz w:val="32"/>
          <w:szCs w:val="32"/>
          <w:lang w:eastAsia="zh-CN"/>
        </w:rPr>
        <w:t>。</w:t>
      </w:r>
    </w:p>
    <w:p w14:paraId="3C1F8305">
      <w:pPr>
        <w:pStyle w:val="5"/>
        <w:shd w:val="clear" w:color="auto" w:fill="FFFFFF"/>
        <w:spacing w:beforeAutospacing="0" w:afterAutospacing="0" w:line="560" w:lineRule="exact"/>
        <w:ind w:left="420" w:leftChars="200" w:firstLine="217" w:firstLineChars="68"/>
        <w:jc w:val="both"/>
        <w:outlineLvl w:val="1"/>
        <w:rPr>
          <w:rFonts w:ascii="Times New Roman" w:hAnsi="Times New Roman" w:eastAsia="楷体"/>
          <w:color w:val="000000" w:themeColor="text1"/>
          <w:sz w:val="32"/>
          <w:szCs w:val="32"/>
          <w:shd w:val="clear" w:color="auto" w:fill="FFFFFF"/>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五</w:t>
      </w:r>
      <w:r>
        <w:rPr>
          <w:rFonts w:ascii="Times New Roman" w:hAnsi="Times New Roman" w:eastAsia="楷体"/>
          <w:color w:val="000000" w:themeColor="text1"/>
          <w:sz w:val="32"/>
          <w:szCs w:val="32"/>
          <w:shd w:val="clear" w:color="auto" w:fill="FFFFFF"/>
          <w14:textFill>
            <w14:solidFill>
              <w14:schemeClr w14:val="tx1"/>
            </w14:solidFill>
          </w14:textFill>
        </w:rPr>
        <w:t>）源荷匹配方面</w:t>
      </w:r>
    </w:p>
    <w:p w14:paraId="5B6C3024">
      <w:pPr>
        <w:pStyle w:val="5"/>
        <w:shd w:val="clear" w:color="auto" w:fill="FFFFFF"/>
        <w:spacing w:beforeAutospacing="0" w:afterAutospacing="0" w:line="560" w:lineRule="exact"/>
        <w:ind w:firstLine="640" w:firstLineChars="200"/>
        <w:jc w:val="both"/>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分析电源与负荷的匹配性，形成发用电典型曲线。项目整体新能源年自发自用电量占总可用发电量的比例不低于60%，占总用电量的比例不低于30%，2030年前不低于35%；上网电量占总可用发电量的比例上限不超过20%，明确并网型绿电直连项目年度上网电量上限额度。具备合理的调节能力与储能配置，明确峰谷调节水平及备用机制。（可用发电量是指发电量扣除厂用电量、损耗电量后，理论上可以为项目负荷使用的电量）</w:t>
      </w:r>
    </w:p>
    <w:p w14:paraId="5B6941E7">
      <w:pPr>
        <w:pStyle w:val="5"/>
        <w:shd w:val="clear" w:color="auto" w:fill="FFFFFF"/>
        <w:spacing w:beforeAutospacing="0" w:afterAutospacing="0" w:line="560" w:lineRule="exact"/>
        <w:ind w:firstLine="640" w:firstLineChars="200"/>
        <w:jc w:val="both"/>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明确项目全部电力需求及新能源生产、消费结构数据指标，自发自用、上网电量规模及比例、新能源利用率目标、灵活性调节范围、最大的负荷峰谷差率等。</w:t>
      </w:r>
    </w:p>
    <w:p w14:paraId="61EDE460">
      <w:pPr>
        <w:pStyle w:val="5"/>
        <w:shd w:val="clear" w:color="auto" w:fill="FFFFFF"/>
        <w:spacing w:beforeAutospacing="0" w:afterAutospacing="0" w:line="560" w:lineRule="exact"/>
        <w:ind w:firstLine="640" w:firstLineChars="200"/>
        <w:jc w:val="both"/>
        <w:rPr>
          <w:rFonts w:hint="eastAsia" w:ascii="仿宋_GB2312" w:hAnsi="Times New Roman" w:eastAsia="仿宋_GB2312" w:cs="仿宋_GB2312"/>
          <w:kern w:val="0"/>
          <w:sz w:val="32"/>
          <w:szCs w:val="32"/>
          <w:lang w:val="en-US" w:eastAsia="zh-CN" w:bidi="ar"/>
        </w:rPr>
      </w:pPr>
      <w:r>
        <w:rPr>
          <w:rFonts w:hint="default" w:ascii="Times New Roman" w:hAnsi="Times New Roman" w:eastAsia="仿宋_GB2312" w:cs="Times New Roman"/>
          <w:i w:val="0"/>
          <w:iCs w:val="0"/>
          <w:caps w:val="0"/>
          <w:color w:val="auto"/>
          <w:spacing w:val="0"/>
          <w:sz w:val="32"/>
          <w:szCs w:val="32"/>
          <w:shd w:val="clear" w:color="auto" w:fill="FFFFFF"/>
        </w:rPr>
        <w:t>申报方案应</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开展电力系统生产模拟分析</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科学论证源荷储技术经济匹配的合理性，并给出相关测算过程。</w:t>
      </w:r>
    </w:p>
    <w:p w14:paraId="7D4577EC">
      <w:pPr>
        <w:pStyle w:val="5"/>
        <w:shd w:val="clear" w:color="auto" w:fill="FFFFFF"/>
        <w:spacing w:beforeAutospacing="0" w:afterAutospacing="0" w:line="560" w:lineRule="exact"/>
        <w:ind w:left="420" w:leftChars="200" w:firstLine="217" w:firstLineChars="68"/>
        <w:jc w:val="both"/>
        <w:outlineLvl w:val="1"/>
        <w:rPr>
          <w:rFonts w:ascii="Times New Roman" w:hAnsi="Times New Roman" w:eastAsia="楷体"/>
          <w:color w:val="000000" w:themeColor="text1"/>
          <w:sz w:val="32"/>
          <w:szCs w:val="32"/>
          <w:shd w:val="clear" w:color="auto" w:fill="FFFFFF"/>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六</w:t>
      </w:r>
      <w:r>
        <w:rPr>
          <w:rFonts w:ascii="Times New Roman" w:hAnsi="Times New Roman" w:eastAsia="楷体"/>
          <w:color w:val="000000" w:themeColor="text1"/>
          <w:sz w:val="32"/>
          <w:szCs w:val="32"/>
          <w:shd w:val="clear" w:color="auto" w:fill="FFFFFF"/>
          <w14:textFill>
            <w14:solidFill>
              <w14:schemeClr w14:val="tx1"/>
            </w14:solidFill>
          </w14:textFill>
        </w:rPr>
        <w:t>）接入系统方面</w:t>
      </w:r>
    </w:p>
    <w:p w14:paraId="7EE642A5">
      <w:pPr>
        <w:keepNext w:val="0"/>
        <w:keepLines w:val="0"/>
        <w:widowControl w:val="0"/>
        <w:suppressLineNumbers w:val="0"/>
        <w:snapToGrid w:val="0"/>
        <w:spacing w:before="0" w:beforeAutospacing="0" w:after="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说明项目并网方案、并网容量、计量方式（包括内部发电、厂用电、自发自用电等）、公共电网交换功率、电网接口技术方案以及责任界面（含并网容量之外的供电责任）划分情况。</w:t>
      </w:r>
    </w:p>
    <w:p w14:paraId="265EA937">
      <w:pPr>
        <w:keepNext w:val="0"/>
        <w:keepLines w:val="0"/>
        <w:widowControl w:val="0"/>
        <w:suppressLineNumbers w:val="0"/>
        <w:snapToGrid w:val="0"/>
        <w:spacing w:before="0" w:beforeAutospacing="0" w:after="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明确出现影响公共电网安全的突发紧急情况时，项目整体和内部电源接受电力调度机构统一调度，按要求参与需求响应、有序用电、紧急负荷控制。明确项目与公共电网的交换功率不超过接网容量，以及在公共电网新能源弃电时段不向公共电网反送电的具体措施</w:t>
      </w:r>
      <w:r>
        <w:rPr>
          <w:rFonts w:hint="eastAsia" w:ascii="仿宋_GB2312" w:hAnsi="Times New Roman" w:eastAsia="仿宋_GB2312" w:cs="仿宋_GB2312"/>
          <w:kern w:val="2"/>
          <w:sz w:val="32"/>
          <w:szCs w:val="32"/>
          <w:lang w:val="en-US" w:eastAsia="zh" w:bidi="ar"/>
        </w:rPr>
        <w:t>，项目应安装防逆流装置并保障处于投入状态</w:t>
      </w:r>
      <w:r>
        <w:rPr>
          <w:rFonts w:hint="eastAsia" w:ascii="仿宋_GB2312" w:hAnsi="Times New Roman" w:eastAsia="仿宋_GB2312" w:cs="仿宋_GB2312"/>
          <w:kern w:val="2"/>
          <w:sz w:val="32"/>
          <w:szCs w:val="32"/>
          <w:lang w:val="en-US" w:eastAsia="zh-CN" w:bidi="ar"/>
        </w:rPr>
        <w:t>。</w:t>
      </w:r>
    </w:p>
    <w:p w14:paraId="6643F10A">
      <w:pPr>
        <w:pStyle w:val="5"/>
        <w:shd w:val="clear" w:color="auto" w:fill="FFFFFF"/>
        <w:spacing w:beforeAutospacing="0" w:afterAutospacing="0" w:line="560" w:lineRule="exact"/>
        <w:ind w:firstLine="640" w:firstLineChars="20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仿宋_GB2312" w:hAnsi="Times New Roman" w:eastAsia="仿宋_GB2312" w:cs="仿宋_GB2312"/>
          <w:kern w:val="2"/>
          <w:sz w:val="32"/>
          <w:szCs w:val="32"/>
          <w:lang w:val="en-US" w:eastAsia="zh-CN" w:bidi="ar"/>
        </w:rPr>
        <w:t>明确项目整体及内部电源按照接入电压等级和容量规模接受相应调度机构统一管理。项目内部各设施涉网性能应满足相关标准。</w:t>
      </w:r>
    </w:p>
    <w:p w14:paraId="5C39D4C4">
      <w:pPr>
        <w:pStyle w:val="5"/>
        <w:shd w:val="clear" w:color="auto" w:fill="FFFFFF"/>
        <w:spacing w:beforeAutospacing="0" w:afterAutospacing="0" w:line="560" w:lineRule="exact"/>
        <w:ind w:left="420" w:leftChars="200" w:firstLine="217" w:firstLineChars="68"/>
        <w:jc w:val="both"/>
        <w:outlineLvl w:val="1"/>
        <w:rPr>
          <w:rFonts w:hint="default" w:ascii="Times New Roman" w:hAnsi="Times New Roman" w:eastAsia="楷体"/>
          <w:color w:val="000000" w:themeColor="text1"/>
          <w:sz w:val="32"/>
          <w:szCs w:val="32"/>
          <w:shd w:val="clear" w:color="auto" w:fill="FFFFFF"/>
          <w:lang w:val="en-US" w:eastAsia="zh-CN"/>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七</w:t>
      </w: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储能设施方面（如有）</w:t>
      </w:r>
    </w:p>
    <w:p w14:paraId="292A65ED">
      <w:pPr>
        <w:keepNext w:val="0"/>
        <w:keepLines w:val="0"/>
        <w:widowControl w:val="0"/>
        <w:suppressLineNumbers w:val="0"/>
        <w:snapToGrid w:val="0"/>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配置合理比例的储能系统，增强系统柔性调节能力，满足峰谷差、电能质量管理等要求。储能应自行建设，不得作为独立主体参与电力市场交易。</w:t>
      </w:r>
    </w:p>
    <w:p w14:paraId="1C2DA325">
      <w:pPr>
        <w:keepNext w:val="0"/>
        <w:keepLines w:val="0"/>
        <w:widowControl w:val="0"/>
        <w:suppressLineNumbers w:val="0"/>
        <w:snapToGrid w:val="0"/>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说明储能站址布局、建设规模、技术路线、设备配置、运行方案及安全措施等情况。</w:t>
      </w:r>
    </w:p>
    <w:p w14:paraId="6FDC7E6D">
      <w:pPr>
        <w:pStyle w:val="5"/>
        <w:shd w:val="clear" w:color="auto" w:fill="FFFFFF"/>
        <w:spacing w:beforeAutospacing="0" w:afterAutospacing="0" w:line="560" w:lineRule="exact"/>
        <w:ind w:left="420" w:leftChars="200" w:firstLine="217" w:firstLineChars="68"/>
        <w:jc w:val="both"/>
        <w:outlineLvl w:val="1"/>
        <w:rPr>
          <w:rFonts w:hint="default" w:ascii="Times New Roman" w:hAnsi="Times New Roman" w:eastAsia="楷体"/>
          <w:color w:val="000000" w:themeColor="text1"/>
          <w:sz w:val="32"/>
          <w:szCs w:val="32"/>
          <w:shd w:val="clear" w:color="auto" w:fill="FFFFFF"/>
          <w:lang w:val="en-US" w:eastAsia="zh-CN"/>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八</w:t>
      </w:r>
      <w:r>
        <w:rPr>
          <w:rFonts w:ascii="Times New Roman" w:hAnsi="Times New Roman" w:eastAsia="楷体"/>
          <w:color w:val="000000" w:themeColor="text1"/>
          <w:sz w:val="32"/>
          <w:szCs w:val="32"/>
          <w:shd w:val="clear" w:color="auto" w:fill="FFFFFF"/>
          <w14:textFill>
            <w14:solidFill>
              <w14:schemeClr w14:val="tx1"/>
            </w14:solidFill>
          </w14:textFill>
        </w:rPr>
        <w:t>）</w:t>
      </w:r>
      <w:r>
        <w:rPr>
          <w:rFonts w:hint="eastAsia" w:ascii="Times New Roman" w:hAnsi="Times New Roman" w:eastAsia="楷体"/>
          <w:color w:val="000000" w:themeColor="text1"/>
          <w:sz w:val="32"/>
          <w:szCs w:val="32"/>
          <w:shd w:val="clear" w:color="auto" w:fill="FFFFFF"/>
          <w:lang w:val="en-US" w:eastAsia="zh-CN"/>
          <w14:textFill>
            <w14:solidFill>
              <w14:schemeClr w14:val="tx1"/>
            </w14:solidFill>
          </w14:textFill>
        </w:rPr>
        <w:t>智慧平台方面（如有）</w:t>
      </w:r>
    </w:p>
    <w:p w14:paraId="4D36710C">
      <w:pPr>
        <w:pStyle w:val="5"/>
        <w:shd w:val="clear" w:color="auto" w:fill="FFFFFF"/>
        <w:spacing w:beforeAutospacing="0" w:afterAutospacing="0" w:line="560" w:lineRule="exact"/>
        <w:ind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根据项目情况编制平台功能架构，包括实时监测、智能调度、安全预警、数据管理、用户交互等，说明数据采集的颗粒度以及平台接口的开放度等。明确电源、负荷、储能电量分类计量及小时级电力监测功能。</w:t>
      </w:r>
    </w:p>
    <w:p w14:paraId="22A4FE8A">
      <w:pPr>
        <w:pStyle w:val="5"/>
        <w:shd w:val="clear" w:color="auto" w:fill="FFFFFF"/>
        <w:spacing w:beforeAutospacing="0" w:afterAutospacing="0" w:line="560" w:lineRule="exact"/>
        <w:ind w:firstLine="640" w:firstLineChars="200"/>
        <w:jc w:val="both"/>
        <w:outlineLvl w:val="0"/>
        <w:rPr>
          <w:rStyle w:val="8"/>
          <w:rFonts w:ascii="Times New Roman" w:hAnsi="Times New Roman" w:eastAsia="黑体"/>
          <w:b w:val="0"/>
          <w:bCs/>
          <w:color w:val="000000" w:themeColor="text1"/>
          <w:sz w:val="32"/>
          <w:szCs w:val="32"/>
          <w:shd w:val="clear" w:color="auto" w:fill="FFFFFF"/>
          <w14:textFill>
            <w14:solidFill>
              <w14:schemeClr w14:val="tx1"/>
            </w14:solidFill>
          </w14:textFill>
        </w:rPr>
      </w:pPr>
      <w:r>
        <w:rPr>
          <w:rStyle w:val="8"/>
          <w:rFonts w:ascii="Times New Roman" w:hAnsi="Times New Roman" w:eastAsia="黑体"/>
          <w:b w:val="0"/>
          <w:bCs/>
          <w:color w:val="000000" w:themeColor="text1"/>
          <w:sz w:val="32"/>
          <w:szCs w:val="32"/>
          <w:shd w:val="clear" w:color="auto" w:fill="FFFFFF"/>
          <w14:textFill>
            <w14:solidFill>
              <w14:schemeClr w14:val="tx1"/>
            </w14:solidFill>
          </w14:textFill>
        </w:rPr>
        <w:t>三、</w:t>
      </w:r>
      <w:r>
        <w:rPr>
          <w:rStyle w:val="8"/>
          <w:rFonts w:hint="eastAsia" w:ascii="Times New Roman" w:hAnsi="Times New Roman" w:eastAsia="黑体"/>
          <w:b w:val="0"/>
          <w:bCs/>
          <w:color w:val="000000" w:themeColor="text1"/>
          <w:sz w:val="32"/>
          <w:szCs w:val="32"/>
          <w:shd w:val="clear" w:color="auto" w:fill="FFFFFF"/>
          <w:lang w:val="en-US" w:eastAsia="zh-CN"/>
          <w14:textFill>
            <w14:solidFill>
              <w14:schemeClr w14:val="tx1"/>
            </w14:solidFill>
          </w14:textFill>
        </w:rPr>
        <w:t>电力</w:t>
      </w:r>
      <w:r>
        <w:rPr>
          <w:rStyle w:val="8"/>
          <w:rFonts w:ascii="Times New Roman" w:hAnsi="Times New Roman" w:eastAsia="黑体"/>
          <w:b w:val="0"/>
          <w:bCs/>
          <w:color w:val="000000" w:themeColor="text1"/>
          <w:sz w:val="32"/>
          <w:szCs w:val="32"/>
          <w:shd w:val="clear" w:color="auto" w:fill="FFFFFF"/>
          <w14:textFill>
            <w14:solidFill>
              <w14:schemeClr w14:val="tx1"/>
            </w14:solidFill>
          </w14:textFill>
        </w:rPr>
        <w:t>系统安全评估</w:t>
      </w:r>
    </w:p>
    <w:p w14:paraId="033DA563">
      <w:pPr>
        <w:pStyle w:val="5"/>
        <w:shd w:val="clear" w:color="auto" w:fill="FFFFFF"/>
        <w:spacing w:beforeAutospacing="0" w:afterAutospacing="0" w:line="560" w:lineRule="exact"/>
        <w:ind w:firstLine="640" w:firstLineChars="20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开展电力系统安全稳定分析，评估项目内部各设施涉网性能是否满足相关标准。</w:t>
      </w:r>
      <w:r>
        <w:rPr>
          <w:rFonts w:hint="eastAsia" w:ascii="仿宋_GB2312" w:hAnsi="Times New Roman" w:eastAsia="仿宋_GB2312" w:cs="仿宋_GB2312"/>
          <w:kern w:val="2"/>
          <w:sz w:val="32"/>
          <w:szCs w:val="32"/>
          <w:lang w:val="en-US" w:eastAsia="zh-CN" w:bidi="ar"/>
        </w:rPr>
        <w:t>依据《电网运行准则》等标准，</w:t>
      </w:r>
      <w:r>
        <w:rPr>
          <w:rFonts w:ascii="Times New Roman" w:hAnsi="Times New Roman" w:eastAsia="仿宋_GB2312"/>
          <w:color w:val="000000" w:themeColor="text1"/>
          <w:sz w:val="32"/>
          <w:szCs w:val="32"/>
          <w:shd w:val="clear" w:color="auto" w:fill="FFFFFF"/>
          <w14:textFill>
            <w14:solidFill>
              <w14:schemeClr w14:val="tx1"/>
            </w14:solidFill>
          </w14:textFill>
        </w:rPr>
        <w:t>评估分析</w:t>
      </w:r>
      <w:r>
        <w:rPr>
          <w:rFonts w:hint="eastAsia" w:ascii="仿宋_GB2312" w:hAnsi="Times New Roman" w:eastAsia="仿宋_GB2312" w:cs="仿宋_GB2312"/>
          <w:kern w:val="2"/>
          <w:sz w:val="32"/>
          <w:szCs w:val="32"/>
          <w:lang w:val="en-US" w:eastAsia="zh-CN" w:bidi="ar"/>
        </w:rPr>
        <w:t>项目对区域电网稳定性、电压支撑、电能质量的影响，分析</w:t>
      </w:r>
      <w:r>
        <w:rPr>
          <w:rFonts w:ascii="Times New Roman" w:hAnsi="Times New Roman" w:eastAsia="仿宋_GB2312"/>
          <w:color w:val="000000" w:themeColor="text1"/>
          <w:sz w:val="32"/>
          <w:szCs w:val="32"/>
          <w:shd w:val="clear" w:color="auto" w:fill="FFFFFF"/>
          <w14:textFill>
            <w14:solidFill>
              <w14:schemeClr w14:val="tx1"/>
            </w14:solidFill>
          </w14:textFill>
        </w:rPr>
        <w:t>项目系统风险、用电安全、电能质量等</w:t>
      </w:r>
      <w:r>
        <w:rPr>
          <w:rFonts w:hint="eastAsia" w:ascii="Times New Roman" w:hAnsi="Times New Roman" w:eastAsia="仿宋_GB2312"/>
          <w:color w:val="000000" w:themeColor="text1"/>
          <w:sz w:val="32"/>
          <w:szCs w:val="32"/>
          <w:shd w:val="clear" w:color="auto" w:fill="FFFFFF"/>
          <w:lang w:val="en-US" w:eastAsia="zh-CN"/>
          <w14:textFill>
            <w14:solidFill>
              <w14:schemeClr w14:val="tx1"/>
            </w14:solidFill>
          </w14:textFill>
        </w:rPr>
        <w:t>并</w:t>
      </w:r>
      <w:r>
        <w:rPr>
          <w:rFonts w:hint="eastAsia" w:ascii="仿宋_GB2312" w:hAnsi="Times New Roman" w:eastAsia="仿宋_GB2312" w:cs="仿宋_GB2312"/>
          <w:kern w:val="2"/>
          <w:sz w:val="32"/>
          <w:szCs w:val="32"/>
          <w:lang w:val="en-US" w:eastAsia="zh-CN" w:bidi="ar"/>
        </w:rPr>
        <w:t>明确应对措施。</w:t>
      </w:r>
      <w:r>
        <w:rPr>
          <w:rFonts w:ascii="Times New Roman" w:hAnsi="Times New Roman" w:eastAsia="仿宋_GB2312"/>
          <w:color w:val="000000" w:themeColor="text1"/>
          <w:sz w:val="32"/>
          <w:szCs w:val="32"/>
          <w:shd w:val="clear" w:color="auto" w:fill="FFFFFF"/>
          <w14:textFill>
            <w14:solidFill>
              <w14:schemeClr w14:val="tx1"/>
            </w14:solidFill>
          </w14:textFill>
        </w:rPr>
        <w:t>如项目接入电压等级为220千伏，需提供电力系统安全风险专项评估报告。</w:t>
      </w:r>
    </w:p>
    <w:p w14:paraId="5BB1CD1C">
      <w:pPr>
        <w:pStyle w:val="5"/>
        <w:shd w:val="clear" w:color="auto" w:fill="FFFFFF"/>
        <w:spacing w:beforeAutospacing="0" w:afterAutospacing="0" w:line="560" w:lineRule="exact"/>
        <w:ind w:firstLine="420"/>
        <w:jc w:val="both"/>
        <w:outlineLvl w:val="0"/>
        <w:rPr>
          <w:rStyle w:val="8"/>
          <w:rFonts w:ascii="Times New Roman" w:hAnsi="Times New Roman" w:eastAsia="黑体"/>
          <w:b w:val="0"/>
          <w:bCs/>
          <w:color w:val="000000" w:themeColor="text1"/>
          <w:sz w:val="32"/>
          <w:szCs w:val="32"/>
          <w:shd w:val="clear" w:color="auto" w:fill="FFFFFF"/>
          <w14:textFill>
            <w14:solidFill>
              <w14:schemeClr w14:val="tx1"/>
            </w14:solidFill>
          </w14:textFill>
        </w:rPr>
      </w:pPr>
      <w:r>
        <w:rPr>
          <w:rStyle w:val="8"/>
          <w:rFonts w:ascii="Times New Roman" w:hAnsi="Times New Roman" w:eastAsia="黑体"/>
          <w:b w:val="0"/>
          <w:bCs/>
          <w:color w:val="000000" w:themeColor="text1"/>
          <w:sz w:val="32"/>
          <w:szCs w:val="32"/>
          <w:shd w:val="clear" w:color="auto" w:fill="FFFFFF"/>
          <w14:textFill>
            <w14:solidFill>
              <w14:schemeClr w14:val="tx1"/>
            </w14:solidFill>
          </w14:textFill>
        </w:rPr>
        <w:t>四、投资估算及效益分析</w:t>
      </w:r>
    </w:p>
    <w:p w14:paraId="38036924">
      <w:pPr>
        <w:pStyle w:val="5"/>
        <w:shd w:val="clear" w:color="auto" w:fill="FFFFFF"/>
        <w:spacing w:beforeAutospacing="0" w:afterAutospacing="0" w:line="560" w:lineRule="exact"/>
        <w:ind w:left="420" w:leftChars="200" w:firstLine="217" w:firstLineChars="68"/>
        <w:jc w:val="both"/>
        <w:outlineLvl w:val="1"/>
        <w:rPr>
          <w:rFonts w:ascii="Times New Roman" w:hAnsi="Times New Roman" w:eastAsia="楷体"/>
          <w:color w:val="000000" w:themeColor="text1"/>
          <w:sz w:val="32"/>
          <w:szCs w:val="32"/>
          <w:shd w:val="clear" w:color="auto" w:fill="FFFFFF"/>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（一）财务评价</w:t>
      </w:r>
    </w:p>
    <w:p w14:paraId="5DFFC1E6">
      <w:pPr>
        <w:keepNext w:val="0"/>
        <w:keepLines w:val="0"/>
        <w:widowControl w:val="0"/>
        <w:suppressLineNumbers w:val="0"/>
        <w:snapToGrid w:val="0"/>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ascii="Times New Roman" w:hAnsi="Times New Roman" w:eastAsia="仿宋_GB2312"/>
          <w:color w:val="000000" w:themeColor="text1"/>
          <w:sz w:val="32"/>
          <w:szCs w:val="32"/>
          <w:shd w:val="clear" w:color="auto" w:fill="FFFFFF"/>
          <w14:textFill>
            <w14:solidFill>
              <w14:schemeClr w14:val="tx1"/>
            </w14:solidFill>
          </w14:textFill>
        </w:rPr>
        <w:t>进行项目整体投资估算，包含负荷、电源、直连线路、储能等各部分的投资构成；测算财务内部收益率、投资回收期等指标。</w:t>
      </w:r>
      <w:r>
        <w:rPr>
          <w:rFonts w:hint="eastAsia" w:ascii="仿宋_GB2312" w:hAnsi="Times New Roman" w:eastAsia="仿宋_GB2312" w:cs="仿宋_GB2312"/>
          <w:kern w:val="2"/>
          <w:sz w:val="32"/>
          <w:szCs w:val="32"/>
          <w:lang w:val="en-US" w:eastAsia="zh-CN" w:bidi="ar"/>
        </w:rPr>
        <w:t>根据国家发展改革委相关价格文件及项目年用电规模，结合区域电力市场情况、绿电合约价格、输配电费等附加费用，开展负荷侧用电成本分析，科学论证绿电直连项目经济收益，并给出相关测算过程。</w:t>
      </w:r>
    </w:p>
    <w:p w14:paraId="33F80BE9">
      <w:pPr>
        <w:pStyle w:val="5"/>
        <w:shd w:val="clear" w:color="auto" w:fill="FFFFFF"/>
        <w:spacing w:beforeAutospacing="0" w:afterAutospacing="0" w:line="560" w:lineRule="exact"/>
        <w:ind w:left="420" w:leftChars="200" w:firstLine="217" w:firstLineChars="68"/>
        <w:jc w:val="both"/>
        <w:outlineLvl w:val="1"/>
        <w:rPr>
          <w:rFonts w:ascii="Times New Roman" w:hAnsi="Times New Roman" w:eastAsia="楷体"/>
          <w:color w:val="000000" w:themeColor="text1"/>
          <w:sz w:val="32"/>
          <w:szCs w:val="32"/>
          <w:shd w:val="clear" w:color="auto" w:fill="FFFFFF"/>
          <w14:textFill>
            <w14:solidFill>
              <w14:schemeClr w14:val="tx1"/>
            </w14:solidFill>
          </w14:textFill>
        </w:rPr>
      </w:pPr>
      <w:r>
        <w:rPr>
          <w:rFonts w:ascii="Times New Roman" w:hAnsi="Times New Roman" w:eastAsia="楷体"/>
          <w:color w:val="000000" w:themeColor="text1"/>
          <w:sz w:val="32"/>
          <w:szCs w:val="32"/>
          <w:shd w:val="clear" w:color="auto" w:fill="FFFFFF"/>
          <w14:textFill>
            <w14:solidFill>
              <w14:schemeClr w14:val="tx1"/>
            </w14:solidFill>
          </w14:textFill>
        </w:rPr>
        <w:t>（二）效益分析</w:t>
      </w:r>
    </w:p>
    <w:p w14:paraId="49589379">
      <w:pPr>
        <w:keepNext w:val="0"/>
        <w:keepLines w:val="0"/>
        <w:widowControl w:val="0"/>
        <w:suppressLineNumbers w:val="0"/>
        <w:snapToGrid w:val="0"/>
        <w:spacing w:before="0" w:beforeAutospacing="0" w:after="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经济效益：分析绿电直连项目建设带来的企业产值增加、营收增加等直接经济效益，以及为地方经济发展带来的间接效益。</w:t>
      </w:r>
    </w:p>
    <w:p w14:paraId="1AC31BFF">
      <w:pPr>
        <w:keepNext w:val="0"/>
        <w:keepLines w:val="0"/>
        <w:widowControl w:val="0"/>
        <w:suppressLineNumbers w:val="0"/>
        <w:snapToGrid w:val="0"/>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社会效益：分析绿电直连项目在促进产业绿色转型，促进新能源就近就地消纳，带动区域建设、其他产业发展、安置就业等方面情况。</w:t>
      </w:r>
    </w:p>
    <w:p w14:paraId="6BC99831">
      <w:pPr>
        <w:keepNext w:val="0"/>
        <w:keepLines w:val="0"/>
        <w:widowControl w:val="0"/>
        <w:suppressLineNumbers w:val="0"/>
        <w:snapToGrid w:val="0"/>
        <w:spacing w:before="0" w:beforeAutospacing="0" w:after="0" w:afterAutospacing="0" w:line="560" w:lineRule="exact"/>
        <w:ind w:left="0" w:right="0" w:firstLine="640" w:firstLineChars="200"/>
        <w:jc w:val="both"/>
        <w:rPr>
          <w:rFonts w:hint="default"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生态效益：分析绿电直连项目建设对能耗降低、碳减排、环境质量改善等方面的积极作用。</w:t>
      </w:r>
    </w:p>
    <w:p w14:paraId="189C1464">
      <w:pPr>
        <w:pStyle w:val="5"/>
        <w:numPr>
          <w:ilvl w:val="0"/>
          <w:numId w:val="0"/>
        </w:numPr>
        <w:shd w:val="clear" w:color="auto" w:fill="FFFFFF"/>
        <w:spacing w:beforeAutospacing="0" w:afterAutospacing="0" w:line="560" w:lineRule="exact"/>
        <w:ind w:firstLine="640" w:firstLineChars="200"/>
        <w:jc w:val="both"/>
        <w:outlineLvl w:val="0"/>
        <w:rPr>
          <w:rStyle w:val="8"/>
          <w:rFonts w:hint="eastAsia" w:ascii="Times New Roman" w:hAnsi="Times New Roman" w:eastAsia="黑体"/>
          <w:b w:val="0"/>
          <w:bCs/>
          <w:color w:val="000000" w:themeColor="text1"/>
          <w:sz w:val="32"/>
          <w:szCs w:val="32"/>
          <w:shd w:val="clear" w:color="auto" w:fill="FFFFFF"/>
          <w:lang w:val="en-US" w:eastAsia="zh-CN"/>
          <w14:textFill>
            <w14:solidFill>
              <w14:schemeClr w14:val="tx1"/>
            </w14:solidFill>
          </w14:textFill>
        </w:rPr>
      </w:pPr>
      <w:r>
        <w:rPr>
          <w:rStyle w:val="8"/>
          <w:rFonts w:hint="eastAsia" w:ascii="Times New Roman" w:hAnsi="Times New Roman" w:eastAsia="黑体"/>
          <w:b w:val="0"/>
          <w:bCs/>
          <w:color w:val="000000" w:themeColor="text1"/>
          <w:sz w:val="32"/>
          <w:szCs w:val="32"/>
          <w:shd w:val="clear" w:color="auto" w:fill="FFFFFF"/>
          <w:lang w:val="en-US" w:eastAsia="zh-CN"/>
          <w14:textFill>
            <w14:solidFill>
              <w14:schemeClr w14:val="tx1"/>
            </w14:solidFill>
          </w14:textFill>
        </w:rPr>
        <w:t>五、组织保障</w:t>
      </w:r>
    </w:p>
    <w:p w14:paraId="151D3D34">
      <w:pPr>
        <w:pStyle w:val="5"/>
        <w:shd w:val="clear" w:color="auto" w:fill="FFFFFF"/>
        <w:spacing w:beforeAutospacing="0" w:afterAutospacing="0" w:line="560" w:lineRule="exact"/>
        <w:ind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明确组织保障、要素保障、项目保障等措施。</w:t>
      </w:r>
    </w:p>
    <w:p w14:paraId="0EE65BAF">
      <w:pPr>
        <w:pStyle w:val="5"/>
        <w:shd w:val="clear" w:color="auto" w:fill="FFFFFF"/>
        <w:spacing w:beforeAutospacing="0" w:afterAutospacing="0" w:line="560" w:lineRule="exact"/>
        <w:ind w:firstLine="640" w:firstLineChars="200"/>
        <w:jc w:val="both"/>
        <w:outlineLvl w:val="0"/>
        <w:rPr>
          <w:rStyle w:val="8"/>
          <w:rFonts w:ascii="Times New Roman" w:hAnsi="Times New Roman" w:eastAsia="黑体"/>
          <w:b w:val="0"/>
          <w:bCs/>
          <w:color w:val="000000" w:themeColor="text1"/>
          <w:sz w:val="32"/>
          <w:szCs w:val="32"/>
          <w:shd w:val="clear" w:color="auto" w:fill="FFFFFF"/>
          <w14:textFill>
            <w14:solidFill>
              <w14:schemeClr w14:val="tx1"/>
            </w14:solidFill>
          </w14:textFill>
        </w:rPr>
      </w:pPr>
      <w:r>
        <w:rPr>
          <w:rStyle w:val="8"/>
          <w:rFonts w:hint="eastAsia" w:ascii="Times New Roman" w:hAnsi="Times New Roman" w:eastAsia="黑体"/>
          <w:b w:val="0"/>
          <w:bCs/>
          <w:color w:val="000000" w:themeColor="text1"/>
          <w:sz w:val="32"/>
          <w:szCs w:val="32"/>
          <w:shd w:val="clear" w:color="auto" w:fill="FFFFFF"/>
          <w:lang w:val="en-US" w:eastAsia="zh-CN"/>
          <w14:textFill>
            <w14:solidFill>
              <w14:schemeClr w14:val="tx1"/>
            </w14:solidFill>
          </w14:textFill>
        </w:rPr>
        <w:t>六</w:t>
      </w:r>
      <w:r>
        <w:rPr>
          <w:rStyle w:val="8"/>
          <w:rFonts w:ascii="Times New Roman" w:hAnsi="Times New Roman" w:eastAsia="黑体"/>
          <w:b w:val="0"/>
          <w:bCs/>
          <w:color w:val="000000" w:themeColor="text1"/>
          <w:sz w:val="32"/>
          <w:szCs w:val="32"/>
          <w:shd w:val="clear" w:color="auto" w:fill="FFFFFF"/>
          <w14:textFill>
            <w14:solidFill>
              <w14:schemeClr w14:val="tx1"/>
            </w14:solidFill>
          </w14:textFill>
        </w:rPr>
        <w:t>、支持性文件</w:t>
      </w:r>
    </w:p>
    <w:p w14:paraId="28B6F7A5">
      <w:pPr>
        <w:pStyle w:val="5"/>
        <w:numPr>
          <w:ilvl w:val="0"/>
          <w:numId w:val="1"/>
        </w:numPr>
        <w:shd w:val="clear" w:color="auto" w:fill="FFFFFF"/>
        <w:spacing w:beforeAutospacing="0" w:afterAutospacing="0" w:line="560" w:lineRule="exact"/>
        <w:ind w:left="0" w:leftChars="0" w:firstLine="640" w:firstLineChars="0"/>
        <w:jc w:val="both"/>
        <w:rPr>
          <w:rFonts w:ascii="Times New Roman"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s="仿宋_GB2312"/>
          <w:kern w:val="2"/>
          <w:sz w:val="32"/>
          <w:szCs w:val="32"/>
          <w:lang w:val="en-US" w:eastAsia="zh-CN" w:bidi="ar"/>
        </w:rPr>
        <w:t>明确项目主责单位并提供相关材料，包括</w:t>
      </w:r>
      <w:r>
        <w:rPr>
          <w:rFonts w:ascii="Times New Roman" w:hAnsi="Times New Roman" w:eastAsia="仿宋_GB2312"/>
          <w:color w:val="000000" w:themeColor="text1"/>
          <w:sz w:val="32"/>
          <w:szCs w:val="32"/>
          <w:shd w:val="clear" w:color="auto" w:fill="FFFFFF"/>
          <w14:textFill>
            <w14:solidFill>
              <w14:schemeClr w14:val="tx1"/>
            </w14:solidFill>
          </w14:textFill>
        </w:rPr>
        <w:t>项目投资主体工商营业执照、信用证明等。</w:t>
      </w:r>
    </w:p>
    <w:p w14:paraId="589F5CC9">
      <w:pPr>
        <w:pStyle w:val="5"/>
        <w:numPr>
          <w:ilvl w:val="0"/>
          <w:numId w:val="1"/>
        </w:numPr>
        <w:shd w:val="clear" w:color="auto" w:fill="FFFFFF"/>
        <w:spacing w:beforeAutospacing="0" w:afterAutospacing="0" w:line="560" w:lineRule="exact"/>
        <w:ind w:left="0" w:leftChars="0" w:firstLine="640" w:firstLineChars="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新增负荷的核准（备案）文件及能评、环评手续，或项目建设用地手续批复文件。</w:t>
      </w:r>
    </w:p>
    <w:p w14:paraId="1C50360B">
      <w:pPr>
        <w:pStyle w:val="5"/>
        <w:numPr>
          <w:ilvl w:val="0"/>
          <w:numId w:val="1"/>
        </w:numPr>
        <w:shd w:val="clear" w:color="auto" w:fill="FFFFFF"/>
        <w:spacing w:beforeAutospacing="0" w:afterAutospacing="0" w:line="560" w:lineRule="exact"/>
        <w:ind w:left="0" w:leftChars="0" w:firstLine="640" w:firstLineChars="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项目主责单位与电源、负荷等内部主体应就产权划分、运行维护、平衡责任、内部费用标准和结算、违约责任等事项签订协议。</w:t>
      </w:r>
      <w:r>
        <w:rPr>
          <w:rFonts w:ascii="Times New Roman" w:hAnsi="Times New Roman" w:eastAsia="仿宋_GB2312"/>
          <w:color w:val="000000" w:themeColor="text1"/>
          <w:sz w:val="32"/>
          <w:szCs w:val="32"/>
          <w:shd w:val="clear" w:color="auto" w:fill="FFFFFF"/>
          <w14:textFill>
            <w14:solidFill>
              <w14:schemeClr w14:val="tx1"/>
            </w14:solidFill>
          </w14:textFill>
        </w:rPr>
        <w:t>如绿电直连项目中的电源为在建项目，需附省级批复文件。如为新增</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风电、光伏</w:t>
      </w:r>
      <w:r>
        <w:rPr>
          <w:rFonts w:ascii="Times New Roman" w:hAnsi="Times New Roman" w:eastAsia="仿宋_GB2312"/>
          <w:color w:val="000000" w:themeColor="text1"/>
          <w:sz w:val="32"/>
          <w:szCs w:val="32"/>
          <w:shd w:val="clear" w:color="auto" w:fill="FFFFFF"/>
          <w14:textFill>
            <w14:solidFill>
              <w14:schemeClr w14:val="tx1"/>
            </w14:solidFill>
          </w14:textFill>
        </w:rPr>
        <w:t>电源，需提供项目矢量坐标（kml格式）及市级林草、自然资源、农业部门出具的支持性意见。</w:t>
      </w:r>
    </w:p>
    <w:p w14:paraId="622197D9">
      <w:pPr>
        <w:pStyle w:val="5"/>
        <w:numPr>
          <w:ilvl w:val="0"/>
          <w:numId w:val="1"/>
        </w:numPr>
        <w:shd w:val="clear" w:color="auto" w:fill="FFFFFF"/>
        <w:spacing w:beforeAutospacing="0" w:afterAutospacing="0" w:line="560" w:lineRule="exact"/>
        <w:ind w:left="0" w:leftChars="0" w:firstLine="640" w:firstLineChars="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县级能源主管部门牵头协商县规划、电力部门后，出具</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的</w:t>
      </w:r>
      <w:r>
        <w:rPr>
          <w:rFonts w:ascii="Times New Roman" w:hAnsi="Times New Roman" w:eastAsia="仿宋_GB2312"/>
          <w:color w:val="000000" w:themeColor="text1"/>
          <w:sz w:val="32"/>
          <w:szCs w:val="32"/>
          <w:shd w:val="clear" w:color="auto" w:fill="FFFFFF"/>
          <w14:textFill>
            <w14:solidFill>
              <w14:schemeClr w14:val="tx1"/>
            </w14:solidFill>
          </w14:textFill>
        </w:rPr>
        <w:t>关于直连线路的支持性初审意见。</w:t>
      </w:r>
    </w:p>
    <w:p w14:paraId="1860D545">
      <w:pPr>
        <w:pStyle w:val="5"/>
        <w:numPr>
          <w:ilvl w:val="0"/>
          <w:numId w:val="0"/>
        </w:numPr>
        <w:shd w:val="clear" w:color="auto" w:fill="FFFFFF"/>
        <w:spacing w:beforeAutospacing="0" w:afterAutospacing="0" w:line="56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0B43BC64">
      <w:pPr>
        <w:pStyle w:val="5"/>
        <w:numPr>
          <w:ilvl w:val="0"/>
          <w:numId w:val="0"/>
        </w:numPr>
        <w:shd w:val="clear" w:color="auto" w:fill="FFFFFF"/>
        <w:spacing w:beforeAutospacing="0" w:afterAutospacing="0" w:line="56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0D39CCB8">
      <w:pPr>
        <w:pStyle w:val="5"/>
        <w:numPr>
          <w:ilvl w:val="0"/>
          <w:numId w:val="0"/>
        </w:numPr>
        <w:shd w:val="clear" w:color="auto" w:fill="FFFFFF"/>
        <w:spacing w:beforeAutospacing="0" w:afterAutospacing="0" w:line="56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77803F98">
      <w:pPr>
        <w:pStyle w:val="5"/>
        <w:numPr>
          <w:ilvl w:val="0"/>
          <w:numId w:val="0"/>
        </w:numPr>
        <w:shd w:val="clear" w:color="auto" w:fill="FFFFFF"/>
        <w:spacing w:beforeAutospacing="0" w:afterAutospacing="0" w:line="56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5256341D">
      <w:pPr>
        <w:pStyle w:val="5"/>
        <w:numPr>
          <w:ilvl w:val="0"/>
          <w:numId w:val="0"/>
        </w:numPr>
        <w:shd w:val="clear" w:color="auto" w:fill="FFFFFF"/>
        <w:spacing w:beforeAutospacing="0" w:afterAutospacing="0" w:line="56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137A7183">
      <w:pPr>
        <w:rPr>
          <w:rFonts w:ascii="Times New Roman" w:hAnsi="Times New Roman" w:eastAsia="仿宋" w:cs="Times New Roman"/>
          <w:color w:val="000000" w:themeColor="text1"/>
          <w:sz w:val="32"/>
          <w:szCs w:val="32"/>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858B5">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FEBFF">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A0FEBF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BF5382"/>
    <w:multiLevelType w:val="singleLevel"/>
    <w:tmpl w:val="B7BF5382"/>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0F5142"/>
    <w:rsid w:val="000E0805"/>
    <w:rsid w:val="002E329E"/>
    <w:rsid w:val="002F21C7"/>
    <w:rsid w:val="00306377"/>
    <w:rsid w:val="003E5A21"/>
    <w:rsid w:val="00574713"/>
    <w:rsid w:val="005A02A9"/>
    <w:rsid w:val="005D6985"/>
    <w:rsid w:val="00702827"/>
    <w:rsid w:val="00794BED"/>
    <w:rsid w:val="00902ADD"/>
    <w:rsid w:val="0095462E"/>
    <w:rsid w:val="009A127E"/>
    <w:rsid w:val="009E29D5"/>
    <w:rsid w:val="00B53CB4"/>
    <w:rsid w:val="00F943D4"/>
    <w:rsid w:val="018F529B"/>
    <w:rsid w:val="019571A4"/>
    <w:rsid w:val="01C2593F"/>
    <w:rsid w:val="026652FE"/>
    <w:rsid w:val="02E6069B"/>
    <w:rsid w:val="03582E7A"/>
    <w:rsid w:val="03905CE5"/>
    <w:rsid w:val="065F5E83"/>
    <w:rsid w:val="079600FE"/>
    <w:rsid w:val="0858715D"/>
    <w:rsid w:val="08B01ED0"/>
    <w:rsid w:val="08B408D6"/>
    <w:rsid w:val="09DD3C96"/>
    <w:rsid w:val="0A575703"/>
    <w:rsid w:val="0AEE6EFC"/>
    <w:rsid w:val="0C0C18D2"/>
    <w:rsid w:val="0CB42FE4"/>
    <w:rsid w:val="0DC71BA8"/>
    <w:rsid w:val="0FC825F2"/>
    <w:rsid w:val="0FEC732E"/>
    <w:rsid w:val="10410FB7"/>
    <w:rsid w:val="106E6603"/>
    <w:rsid w:val="130F58D2"/>
    <w:rsid w:val="131A3C63"/>
    <w:rsid w:val="13CB4B0D"/>
    <w:rsid w:val="141A77D1"/>
    <w:rsid w:val="14DC29CA"/>
    <w:rsid w:val="151D7BB0"/>
    <w:rsid w:val="15EE0289"/>
    <w:rsid w:val="16225260"/>
    <w:rsid w:val="162A486A"/>
    <w:rsid w:val="1703454E"/>
    <w:rsid w:val="17037DD1"/>
    <w:rsid w:val="17E3743F"/>
    <w:rsid w:val="18E524E5"/>
    <w:rsid w:val="196B01BF"/>
    <w:rsid w:val="19E05C00"/>
    <w:rsid w:val="1A153EDB"/>
    <w:rsid w:val="1AA8429E"/>
    <w:rsid w:val="1B4C3F58"/>
    <w:rsid w:val="1BCD57AB"/>
    <w:rsid w:val="1BE069CA"/>
    <w:rsid w:val="1CAC1CAD"/>
    <w:rsid w:val="1D985D1B"/>
    <w:rsid w:val="1DB4564C"/>
    <w:rsid w:val="1E493646"/>
    <w:rsid w:val="1E4B1042"/>
    <w:rsid w:val="1E4E6744"/>
    <w:rsid w:val="1E77BAD3"/>
    <w:rsid w:val="1E8C402A"/>
    <w:rsid w:val="1EB912B8"/>
    <w:rsid w:val="1EDF18B6"/>
    <w:rsid w:val="1F0926FA"/>
    <w:rsid w:val="1F70568D"/>
    <w:rsid w:val="204F58BE"/>
    <w:rsid w:val="20970C07"/>
    <w:rsid w:val="21066CBD"/>
    <w:rsid w:val="22F870EC"/>
    <w:rsid w:val="23E073EA"/>
    <w:rsid w:val="24190849"/>
    <w:rsid w:val="24531927"/>
    <w:rsid w:val="24A35705"/>
    <w:rsid w:val="24FA7B37"/>
    <w:rsid w:val="25457FB6"/>
    <w:rsid w:val="25AF6361"/>
    <w:rsid w:val="26A26BEE"/>
    <w:rsid w:val="27BD063F"/>
    <w:rsid w:val="27D74A6C"/>
    <w:rsid w:val="29082BE0"/>
    <w:rsid w:val="295703E0"/>
    <w:rsid w:val="29D96894"/>
    <w:rsid w:val="2A0B3E70"/>
    <w:rsid w:val="2A71692E"/>
    <w:rsid w:val="2A8F5EDF"/>
    <w:rsid w:val="2AC450FA"/>
    <w:rsid w:val="2B004F19"/>
    <w:rsid w:val="2B0E422E"/>
    <w:rsid w:val="2BD9047F"/>
    <w:rsid w:val="2C344011"/>
    <w:rsid w:val="2CE1542E"/>
    <w:rsid w:val="2D740F19"/>
    <w:rsid w:val="2DF055EB"/>
    <w:rsid w:val="2E0365E1"/>
    <w:rsid w:val="2E055591"/>
    <w:rsid w:val="2E814EDA"/>
    <w:rsid w:val="2F6376CB"/>
    <w:rsid w:val="2F7E6352"/>
    <w:rsid w:val="2FD40C84"/>
    <w:rsid w:val="30451BBC"/>
    <w:rsid w:val="30E35ACF"/>
    <w:rsid w:val="319D3AF3"/>
    <w:rsid w:val="32106030"/>
    <w:rsid w:val="321118B3"/>
    <w:rsid w:val="32ED471A"/>
    <w:rsid w:val="32EE5A1E"/>
    <w:rsid w:val="33B331DE"/>
    <w:rsid w:val="33E8735C"/>
    <w:rsid w:val="348B0CC3"/>
    <w:rsid w:val="350660B8"/>
    <w:rsid w:val="353323D5"/>
    <w:rsid w:val="36992FA1"/>
    <w:rsid w:val="379F24CF"/>
    <w:rsid w:val="381D0B9F"/>
    <w:rsid w:val="384E136E"/>
    <w:rsid w:val="38697999"/>
    <w:rsid w:val="39343BEA"/>
    <w:rsid w:val="39A551A2"/>
    <w:rsid w:val="39D73540"/>
    <w:rsid w:val="3AFB1ED1"/>
    <w:rsid w:val="3C8D6DE4"/>
    <w:rsid w:val="3CE00DEC"/>
    <w:rsid w:val="3D5A75AA"/>
    <w:rsid w:val="3EE13DB5"/>
    <w:rsid w:val="3F2C4235"/>
    <w:rsid w:val="3F65095E"/>
    <w:rsid w:val="3FE54560"/>
    <w:rsid w:val="3FFFD370"/>
    <w:rsid w:val="40225A46"/>
    <w:rsid w:val="40250BC9"/>
    <w:rsid w:val="405C6B25"/>
    <w:rsid w:val="407B3B56"/>
    <w:rsid w:val="415C66C8"/>
    <w:rsid w:val="426A6C05"/>
    <w:rsid w:val="44D91E82"/>
    <w:rsid w:val="455A36D4"/>
    <w:rsid w:val="461D4A97"/>
    <w:rsid w:val="46D12D54"/>
    <w:rsid w:val="47AD2C24"/>
    <w:rsid w:val="47BC543D"/>
    <w:rsid w:val="4839282C"/>
    <w:rsid w:val="4874273C"/>
    <w:rsid w:val="493C6BB3"/>
    <w:rsid w:val="49F84D68"/>
    <w:rsid w:val="4A5A4E0C"/>
    <w:rsid w:val="4AC46A3A"/>
    <w:rsid w:val="4B0C6E2E"/>
    <w:rsid w:val="4B560527"/>
    <w:rsid w:val="4B924B09"/>
    <w:rsid w:val="4BFE1C3A"/>
    <w:rsid w:val="4C8C05A4"/>
    <w:rsid w:val="4C8F1529"/>
    <w:rsid w:val="4D1E3396"/>
    <w:rsid w:val="4D742AA0"/>
    <w:rsid w:val="4DB76A0C"/>
    <w:rsid w:val="4F252466"/>
    <w:rsid w:val="4F9C5928"/>
    <w:rsid w:val="4FFA7CD0"/>
    <w:rsid w:val="4FFB74C0"/>
    <w:rsid w:val="50CF4A20"/>
    <w:rsid w:val="520A47A8"/>
    <w:rsid w:val="52A56BA5"/>
    <w:rsid w:val="54242899"/>
    <w:rsid w:val="54F05465"/>
    <w:rsid w:val="551B53B0"/>
    <w:rsid w:val="553C7AE3"/>
    <w:rsid w:val="553E2FE6"/>
    <w:rsid w:val="55432CF1"/>
    <w:rsid w:val="559F1D86"/>
    <w:rsid w:val="568048F7"/>
    <w:rsid w:val="568410FF"/>
    <w:rsid w:val="57075E55"/>
    <w:rsid w:val="58813143"/>
    <w:rsid w:val="589B3CED"/>
    <w:rsid w:val="593815EC"/>
    <w:rsid w:val="59EC2395"/>
    <w:rsid w:val="5B386B34"/>
    <w:rsid w:val="5B661C01"/>
    <w:rsid w:val="5C5A7F10"/>
    <w:rsid w:val="5C733038"/>
    <w:rsid w:val="5D10281C"/>
    <w:rsid w:val="5D1C3851"/>
    <w:rsid w:val="5D3648B8"/>
    <w:rsid w:val="5D862F00"/>
    <w:rsid w:val="5DB217C6"/>
    <w:rsid w:val="5ECA75CC"/>
    <w:rsid w:val="5F691E20"/>
    <w:rsid w:val="60FC34AC"/>
    <w:rsid w:val="61DC639E"/>
    <w:rsid w:val="61EE62B8"/>
    <w:rsid w:val="62CB0224"/>
    <w:rsid w:val="632C3741"/>
    <w:rsid w:val="63384C7C"/>
    <w:rsid w:val="63AF3D1A"/>
    <w:rsid w:val="63F36A7C"/>
    <w:rsid w:val="64515AA2"/>
    <w:rsid w:val="64637041"/>
    <w:rsid w:val="64E50514"/>
    <w:rsid w:val="653D2227"/>
    <w:rsid w:val="6579460B"/>
    <w:rsid w:val="65821697"/>
    <w:rsid w:val="65DA33AA"/>
    <w:rsid w:val="66094DF3"/>
    <w:rsid w:val="660E4AFE"/>
    <w:rsid w:val="66D457C1"/>
    <w:rsid w:val="671578AF"/>
    <w:rsid w:val="686C528F"/>
    <w:rsid w:val="68C617F4"/>
    <w:rsid w:val="69434640"/>
    <w:rsid w:val="696E6789"/>
    <w:rsid w:val="69C0748D"/>
    <w:rsid w:val="6A0B4089"/>
    <w:rsid w:val="6AC07030"/>
    <w:rsid w:val="6B3C21FD"/>
    <w:rsid w:val="6B635940"/>
    <w:rsid w:val="6B996D13"/>
    <w:rsid w:val="6B9E6A1E"/>
    <w:rsid w:val="6C267BFC"/>
    <w:rsid w:val="6C706D77"/>
    <w:rsid w:val="6D0F5142"/>
    <w:rsid w:val="6E526F0C"/>
    <w:rsid w:val="6EB3022A"/>
    <w:rsid w:val="6F4C0AA0"/>
    <w:rsid w:val="6F6D675F"/>
    <w:rsid w:val="6FF07C32"/>
    <w:rsid w:val="718E1C5D"/>
    <w:rsid w:val="73085C46"/>
    <w:rsid w:val="73AD08FE"/>
    <w:rsid w:val="7537175E"/>
    <w:rsid w:val="75D154C9"/>
    <w:rsid w:val="75E727FB"/>
    <w:rsid w:val="76633449"/>
    <w:rsid w:val="7675342F"/>
    <w:rsid w:val="7733029F"/>
    <w:rsid w:val="773E800F"/>
    <w:rsid w:val="77CC4F9A"/>
    <w:rsid w:val="7868514F"/>
    <w:rsid w:val="78A648FD"/>
    <w:rsid w:val="78B623A9"/>
    <w:rsid w:val="78BF32A9"/>
    <w:rsid w:val="78E82603"/>
    <w:rsid w:val="79F16E9E"/>
    <w:rsid w:val="7A6300D6"/>
    <w:rsid w:val="7C000DFC"/>
    <w:rsid w:val="7CAD4798"/>
    <w:rsid w:val="7CC321BF"/>
    <w:rsid w:val="7D6E4856"/>
    <w:rsid w:val="7DC6656A"/>
    <w:rsid w:val="7F0D3766"/>
    <w:rsid w:val="7F1F201E"/>
    <w:rsid w:val="7F207AA0"/>
    <w:rsid w:val="7FF81D01"/>
    <w:rsid w:val="BF3DDEE5"/>
    <w:rsid w:val="D3FFCB1B"/>
    <w:rsid w:val="EFD5DFCA"/>
    <w:rsid w:val="F6FE0A23"/>
    <w:rsid w:val="F7FDFDC9"/>
    <w:rsid w:val="FDDF6C25"/>
    <w:rsid w:val="FF771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link w:val="9"/>
    <w:semiHidden/>
    <w:unhideWhenUsed/>
    <w:qFormat/>
    <w:uiPriority w:val="0"/>
    <w:pPr>
      <w:keepNext/>
      <w:keepLines/>
      <w:spacing w:line="360" w:lineRule="auto"/>
      <w:outlineLvl w:val="3"/>
    </w:pPr>
    <w:rPr>
      <w:rFonts w:ascii="Times New Roman" w:hAnsi="Times New Roman" w:eastAsia="宋体" w:cs="Times New Roman"/>
      <w:bCs/>
      <w:kern w:val="0"/>
      <w:sz w:val="24"/>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customStyle="1" w:styleId="9">
    <w:name w:val="标题 4 字符"/>
    <w:basedOn w:val="7"/>
    <w:link w:val="2"/>
    <w:qFormat/>
    <w:uiPriority w:val="0"/>
    <w:rPr>
      <w:rFonts w:ascii="Times New Roman" w:hAnsi="Times New Roman" w:eastAsia="宋体" w:cs="Times New Roman"/>
      <w:bCs/>
      <w:sz w:val="24"/>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170</Words>
  <Characters>971</Characters>
  <Lines>8</Lines>
  <Paragraphs>2</Paragraphs>
  <TotalTime>9</TotalTime>
  <ScaleCrop>false</ScaleCrop>
  <LinksUpToDate>false</LinksUpToDate>
  <CharactersWithSpaces>1139</CharactersWithSpaces>
  <Application>WPS Office_12.1.2.22227_F1E327BC-269C-435d-A152-05C5408002CA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2025-07-30T22:53:00Z</dcterms:created>
  <dc:creator>01381</dc:creator>
  <cp:lastModifiedBy>user</cp:lastModifiedBy>
  <cp:lastPrinted>2026-07-28T08:24:00Z</cp:lastPrinted>
  <dcterms:modified xsi:type="dcterms:W3CDTF">2026-09-03T09:21:25Z</dcterms:modified>
  <dc:title>附件1</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2052-12.1.2.22227</vt:lpwstr>
  </property>
  <property fmtid="{D5CDD505-2E9C-101B-9397-08002B2CF9AE}" pid="3" name="ICV">
    <vt:lpwstr>88A4B09BE1924B77A7B87CA44CEC9F2A_13</vt:lpwstr>
  </property>
  <property fmtid="{D5CDD505-2E9C-101B-9397-08002B2CF9AE}" pid="4" name="KSOTemplateDocerSaveRecord">
    <vt:lpwstr>eyJoZGlkIjoiZjI3NzI3NjVhZjY0OTM2YjFjY2ZjZDE3Y2QzZGFhOWMifQ==</vt:lpwstr>
  </property>
</Properties>
</file>