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CADEB">
      <w:pPr>
        <w:keepNext w:val="0"/>
        <w:keepLines w:val="0"/>
        <w:pageBreakBefore w:val="0"/>
        <w:widowControl w:val="0"/>
        <w:kinsoku/>
        <w:wordWrap/>
        <w:overflowPunct w:val="0"/>
        <w:topLinePunct w:val="0"/>
        <w:autoSpaceDE/>
        <w:autoSpaceDN/>
        <w:bidi w:val="0"/>
        <w:adjustRightInd/>
        <w:snapToGrid/>
        <w:spacing w:line="588" w:lineRule="exact"/>
        <w:ind w:firstLine="0" w:firstLineChars="0"/>
        <w:jc w:val="left"/>
        <w:textAlignment w:val="auto"/>
        <w:rPr>
          <w:rFonts w:hint="default" w:ascii="Times New Roman" w:hAnsi="Times New Roman" w:eastAsia="方正黑体_GBK" w:cs="Times New Roman"/>
          <w:sz w:val="30"/>
          <w:szCs w:val="30"/>
          <w:lang w:val="en-US" w:eastAsia="zh-CN"/>
        </w:rPr>
      </w:pPr>
      <w:bookmarkStart w:id="22" w:name="_GoBack"/>
      <w:bookmarkEnd w:id="22"/>
      <w:r>
        <w:rPr>
          <w:rFonts w:hint="default" w:ascii="Times New Roman" w:hAnsi="Times New Roman" w:eastAsia="方正黑体_GBK" w:cs="Times New Roman"/>
          <w:sz w:val="30"/>
          <w:szCs w:val="30"/>
          <w:lang w:val="en-US" w:eastAsia="zh-CN"/>
        </w:rPr>
        <w:t>附件</w:t>
      </w:r>
    </w:p>
    <w:p w14:paraId="47039271">
      <w:pPr>
        <w:keepNext w:val="0"/>
        <w:keepLines w:val="0"/>
        <w:pageBreakBefore w:val="0"/>
        <w:widowControl w:val="0"/>
        <w:kinsoku/>
        <w:wordWrap/>
        <w:overflowPunct w:val="0"/>
        <w:topLinePunct w:val="0"/>
        <w:autoSpaceDE/>
        <w:autoSpaceDN/>
        <w:bidi w:val="0"/>
        <w:adjustRightInd/>
        <w:snapToGrid/>
        <w:spacing w:line="588" w:lineRule="exact"/>
        <w:ind w:firstLine="0" w:firstLineChars="0"/>
        <w:jc w:val="center"/>
        <w:textAlignment w:val="auto"/>
        <w:rPr>
          <w:rFonts w:hint="default" w:ascii="方正小标宋简体" w:hAnsi="方正小标宋简体" w:eastAsia="方正小标宋简体" w:cs="方正小标宋简体"/>
          <w:sz w:val="32"/>
          <w:szCs w:val="32"/>
          <w:lang w:val="en-US" w:eastAsia="zh-CN"/>
        </w:rPr>
      </w:pPr>
    </w:p>
    <w:p w14:paraId="5E83628B">
      <w:pPr>
        <w:keepNext w:val="0"/>
        <w:keepLines w:val="0"/>
        <w:pageBreakBefore w:val="0"/>
        <w:widowControl w:val="0"/>
        <w:kinsoku/>
        <w:wordWrap/>
        <w:overflowPunct w:val="0"/>
        <w:topLinePunct w:val="0"/>
        <w:autoSpaceDE/>
        <w:autoSpaceDN/>
        <w:bidi w:val="0"/>
        <w:adjustRightInd/>
        <w:snapToGrid/>
        <w:spacing w:line="588" w:lineRule="exact"/>
        <w:ind w:firstLine="0" w:firstLineChars="0"/>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非化石能源电力消费核算20问</w:t>
      </w:r>
    </w:p>
    <w:sdt>
      <w:sdtPr>
        <w:rPr>
          <w:rFonts w:ascii="宋体" w:hAnsi="宋体" w:eastAsia="宋体" w:cstheme="minorBidi"/>
          <w:kern w:val="2"/>
          <w:sz w:val="21"/>
          <w:szCs w:val="22"/>
          <w:lang w:val="en-US" w:eastAsia="zh-CN" w:bidi="ar-SA"/>
        </w:rPr>
        <w:id w:val="713954966"/>
        <w15:color w:val="DBDBDB"/>
        <w:docPartObj>
          <w:docPartGallery w:val="Table of Contents"/>
          <w:docPartUnique/>
        </w:docPartObj>
      </w:sdtPr>
      <w:sdtEndPr>
        <w:rPr>
          <w:rFonts w:hint="eastAsia" w:ascii="方正小标宋简体" w:hAnsi="方正小标宋简体" w:eastAsia="方正小标宋简体" w:cs="方正小标宋简体"/>
          <w:kern w:val="2"/>
          <w:sz w:val="21"/>
          <w:szCs w:val="36"/>
          <w:lang w:val="en-US" w:eastAsia="zh-CN" w:bidi="ar-SA"/>
        </w:rPr>
      </w:sdtEndPr>
      <w:sdtContent>
        <w:p w14:paraId="03504043">
          <w:pPr>
            <w:keepNext w:val="0"/>
            <w:keepLines w:val="0"/>
            <w:pageBreakBefore w:val="0"/>
            <w:widowControl w:val="0"/>
            <w:kinsoku/>
            <w:wordWrap/>
            <w:overflowPunct w:val="0"/>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简体" w:hAnsi="方正小标宋简体" w:eastAsia="方正小标宋简体" w:cs="方正小标宋简体"/>
              <w:kern w:val="2"/>
              <w:sz w:val="21"/>
              <w:szCs w:val="36"/>
              <w:lang w:val="en-US" w:eastAsia="zh-CN" w:bidi="ar-SA"/>
            </w:rPr>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TOC \o "1-1" \h \u </w:instrText>
          </w:r>
          <w:r>
            <w:rPr>
              <w:rFonts w:hint="eastAsia" w:ascii="方正小标宋简体" w:hAnsi="方正小标宋简体" w:eastAsia="方正小标宋简体" w:cs="方正小标宋简体"/>
              <w:sz w:val="36"/>
              <w:szCs w:val="36"/>
              <w:lang w:val="en-US" w:eastAsia="zh-CN"/>
            </w:rPr>
            <w:fldChar w:fldCharType="separate"/>
          </w:r>
        </w:p>
        <w:p w14:paraId="4FA133BA">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_Toc778601080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 文件出台有什么作用？</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_Toc778601080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6</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577AE5A9">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_Toc417035385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2． 文件印发前后，省级非化石能源电力消费量核算方法有哪些变化？</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_Toc417035385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6</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194E36F7">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_Toc762712778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3． 省级层面以电能量交易为主开展非化石能源电力消费核算，地市、电力用户层面以绿证为主开展核算，是否会造成同一千瓦时非化石能源电力消费量重复计算？</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_Toc762712778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6</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4E050A39">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_Toc795460002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4． 《指南》明确了电力用户非化石能源电力消费核算方法，具体指哪些用户？</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_Toc795460002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7</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7CC00616">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_Toc331778065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5． 省级层面，省间交易认定量为什么要设置上限，上限怎么确定？</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_Toc331778065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7</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5068A34B">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_Toc2037022883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6． 省间交易认定量上限是否只针对购电/购证省？</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_Toc2037022883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8</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7399F8B0">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_Toc1980997049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7． 地市和电力用户层面，交易认定量为什么要设置上限，上限怎么确定？</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_Toc1980997049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8</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4BEFA63F">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_Toc680388684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8． 省级、地市、电力用户层面交易认定量上限由谁明确？</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_Toc680388684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8</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08228F57">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_Toc1007009822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9． 为什么要开展省间和省内分摊？</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_Toc1007009822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9</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0E20A313">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_Toc1467452133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10． 省间现货交易为什么存在无法明确“一对一”购售电关系和电量类型的情况？</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_Toc1467452133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9</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5873E20E">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_Toc1861197676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11． 地市和电力用户层面以绿证交易为主开展非化石能源电力消费核算，是否会存在超额认定、导致地市或电力用户认定量总和超过省级非化石能源电力消费量的情况？</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_Toc1861197676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9</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63822456">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_Toc1582698320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12． 如何引导电力用户按需购买绿证？电力用户购买超出认定上限的绿证有什么用？</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_Toc1582698320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10</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1F7444E5">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_Toc223673774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13． 从电力用户角度出发，为做好自身非化石能源电力消费量核算，应如何参与绿证、绿电交易？</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_Toc223673774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10</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0E507F2E">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_Toc1763276720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14． 电力用户层面购买的哪些绿证可以纳入所在地市和省级层面非化石能源电力消费核算？</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_Toc1763276720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11</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7D5C2F62">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_Toc1678032145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15． 如何理解非化石能源发电项目生产耗用电量？</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_Toc1678032145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12</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33D6AEFF">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_Toc566947789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16． 省级层面通过绿证自愿转让非化石能源电力消费量有何考虑？</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_Toc566947789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12</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47EA3520">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_Toc802460740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17． 省间应急调度电量对应电</w:t>
          </w:r>
          <w:r>
            <w:rPr>
              <w:rFonts w:hint="eastAsia" w:ascii="Times New Roman" w:hAnsi="Times New Roman" w:eastAsia="方正仿宋_GBK" w:cs="Times New Roman"/>
              <w:sz w:val="30"/>
              <w:szCs w:val="30"/>
              <w:lang w:val="en-US" w:eastAsia="zh-CN"/>
            </w:rPr>
            <w:t>能</w:t>
          </w:r>
          <w:r>
            <w:rPr>
              <w:rFonts w:hint="default" w:ascii="Times New Roman" w:hAnsi="Times New Roman" w:eastAsia="方正仿宋_GBK" w:cs="Times New Roman"/>
              <w:sz w:val="30"/>
              <w:szCs w:val="30"/>
              <w:lang w:val="en-US" w:eastAsia="zh-CN"/>
            </w:rPr>
            <w:t>量属性怎么明确？</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_Toc802460740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13</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6CD6B390">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_Toc56561224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18． 依据文件核算的非化石能源电力消费量，如何在企业碳排放核算中应用？</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_Toc56561224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13</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3363717D">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_Toc240607163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19． 文件与可再生能源消费最低比重目标和可再生能源电力消纳责任权重制度是什么关系？</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_Toc240607163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13</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4037D8A4">
          <w:pPr>
            <w:pStyle w:val="5"/>
            <w:keepNext w:val="0"/>
            <w:keepLines w:val="0"/>
            <w:pageBreakBefore w:val="0"/>
            <w:widowControl w:val="0"/>
            <w:tabs>
              <w:tab w:val="right" w:leader="dot" w:pos="8306"/>
            </w:tabs>
            <w:kinsoku/>
            <w:wordWrap/>
            <w:overflowPunct/>
            <w:topLinePunct w:val="0"/>
            <w:autoSpaceDE/>
            <w:autoSpaceDN/>
            <w:bidi w:val="0"/>
            <w:adjustRightInd/>
            <w:snapToGrid/>
            <w:spacing w:line="588" w:lineRule="exact"/>
            <w:ind w:firstLine="600" w:firstLineChars="200"/>
            <w:textAlignment w:val="auto"/>
          </w:pPr>
          <w:r>
            <w:rPr>
              <w:rFonts w:hint="default" w:ascii="Times New Roman" w:hAnsi="Times New Roman" w:eastAsia="方正仿宋_GBK" w:cs="Times New Roman"/>
              <w:sz w:val="30"/>
              <w:szCs w:val="30"/>
              <w:lang w:val="en-US" w:eastAsia="zh-CN"/>
            </w:rPr>
            <w:fldChar w:fldCharType="begin"/>
          </w:r>
          <w:r>
            <w:rPr>
              <w:rFonts w:hint="default" w:ascii="Times New Roman" w:hAnsi="Times New Roman" w:eastAsia="方正仿宋_GBK" w:cs="Times New Roman"/>
              <w:sz w:val="30"/>
              <w:szCs w:val="30"/>
              <w:lang w:val="en-US" w:eastAsia="zh-CN"/>
            </w:rPr>
            <w:instrText xml:space="preserve"> HYPERLINK \l _Toc1286757526 </w:instrText>
          </w:r>
          <w:r>
            <w:rPr>
              <w:rFonts w:hint="default" w:ascii="Times New Roman" w:hAnsi="Times New Roman" w:eastAsia="方正仿宋_GBK" w:cs="Times New Roman"/>
              <w:sz w:val="30"/>
              <w:szCs w:val="30"/>
              <w:lang w:val="en-US" w:eastAsia="zh-CN"/>
            </w:rPr>
            <w:fldChar w:fldCharType="separate"/>
          </w:r>
          <w:r>
            <w:rPr>
              <w:rFonts w:hint="default" w:ascii="Times New Roman" w:hAnsi="Times New Roman" w:eastAsia="方正仿宋_GBK" w:cs="Times New Roman"/>
              <w:sz w:val="30"/>
              <w:szCs w:val="30"/>
              <w:lang w:val="en-US" w:eastAsia="zh-CN"/>
            </w:rPr>
            <w:t>20． 非化石能源电力消费核算周期为多久？</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_Toc1286757526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14</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lang w:val="en-US" w:eastAsia="zh-CN"/>
            </w:rPr>
            <w:fldChar w:fldCharType="end"/>
          </w:r>
        </w:p>
        <w:p w14:paraId="3B68F2A7">
          <w:pPr>
            <w:keepNext w:val="0"/>
            <w:keepLines w:val="0"/>
            <w:pageBreakBefore w:val="0"/>
            <w:widowControl w:val="0"/>
            <w:kinsoku/>
            <w:wordWrap/>
            <w:overflowPunct w:val="0"/>
            <w:topLinePunct w:val="0"/>
            <w:autoSpaceDE/>
            <w:autoSpaceDN/>
            <w:bidi w:val="0"/>
            <w:adjustRightInd/>
            <w:snapToGrid/>
            <w:spacing w:before="0" w:beforeLines="0" w:after="0" w:afterLines="0" w:line="588" w:lineRule="exact"/>
            <w:ind w:left="0" w:leftChars="0" w:right="0" w:rightChars="0" w:firstLine="420" w:firstLineChars="20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Cs w:val="36"/>
              <w:lang w:val="en-US" w:eastAsia="zh-CN"/>
            </w:rPr>
            <w:fldChar w:fldCharType="end"/>
          </w:r>
        </w:p>
      </w:sdtContent>
    </w:sdt>
    <w:p w14:paraId="3DDF0F2F">
      <w:pPr>
        <w:keepNext w:val="0"/>
        <w:keepLines w:val="0"/>
        <w:pageBreakBefore w:val="0"/>
        <w:widowControl w:val="0"/>
        <w:kinsoku/>
        <w:wordWrap/>
        <w:overflowPunct w:val="0"/>
        <w:topLinePunct w:val="0"/>
        <w:autoSpaceDE/>
        <w:autoSpaceDN/>
        <w:bidi w:val="0"/>
        <w:adjustRightInd/>
        <w:snapToGrid/>
        <w:spacing w:line="588" w:lineRule="exact"/>
        <w:ind w:firstLine="0" w:firstLineChars="0"/>
        <w:jc w:val="center"/>
        <w:textAlignment w:val="auto"/>
        <w:rPr>
          <w:rFonts w:hint="default" w:ascii="方正小标宋简体" w:hAnsi="方正小标宋简体" w:eastAsia="方正小标宋简体" w:cs="方正小标宋简体"/>
          <w:sz w:val="36"/>
          <w:szCs w:val="36"/>
          <w:lang w:val="en-US" w:eastAsia="zh-CN"/>
        </w:rPr>
      </w:pPr>
    </w:p>
    <w:p w14:paraId="11E0D2F5">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0" w:firstLineChars="0"/>
        <w:textAlignment w:val="auto"/>
        <w:rPr>
          <w:rFonts w:hint="default" w:ascii="Times New Roman" w:hAnsi="Times New Roman" w:eastAsia="方正仿宋_GBK" w:cs="Times New Roman"/>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138FB5AE">
      <w:pPr>
        <w:pStyle w:val="2"/>
        <w:numPr>
          <w:ilvl w:val="0"/>
          <w:numId w:val="1"/>
        </w:numPr>
        <w:bidi w:val="0"/>
        <w:rPr>
          <w:rFonts w:hint="eastAsia" w:ascii="方正黑体_GBK" w:hAnsi="方正黑体_GBK" w:eastAsia="方正黑体_GBK" w:cs="方正黑体_GBK"/>
          <w:sz w:val="30"/>
          <w:szCs w:val="30"/>
          <w:lang w:val="en-US" w:eastAsia="zh-CN"/>
        </w:rPr>
      </w:pPr>
      <w:bookmarkStart w:id="0" w:name="_Toc1143685326"/>
      <w:bookmarkStart w:id="1" w:name="_Toc778601080"/>
      <w:r>
        <w:rPr>
          <w:rFonts w:hint="eastAsia" w:ascii="方正黑体_GBK" w:hAnsi="方正黑体_GBK" w:eastAsia="方正黑体_GBK" w:cs="方正黑体_GBK"/>
          <w:sz w:val="30"/>
          <w:szCs w:val="30"/>
          <w:lang w:val="en-US" w:eastAsia="zh-CN"/>
        </w:rPr>
        <w:t>文件出台有什么作用？</w:t>
      </w:r>
      <w:bookmarkEnd w:id="0"/>
      <w:bookmarkEnd w:id="1"/>
    </w:p>
    <w:p w14:paraId="11C67DB3">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sz w:val="30"/>
          <w:szCs w:val="30"/>
          <w:lang w:val="en-US" w:eastAsia="zh-CN"/>
        </w:rPr>
        <w:t>非化石能源电力消费是核算非化石能源消费占比、电力间接碳排放的基础数据。我国非化石能源电力消费长期按省级行政区域统计核算，地级行政区域和用户层面方法缺失，同时电能量交易、绿证交易、碳排放核算等不同政策机制对非化石能源电力消费的认定规则也不统一。文件健全完善了非化石能源电力消费核算方法，更好推动碳排放双控制度实施。</w:t>
      </w:r>
    </w:p>
    <w:p w14:paraId="7AEB50F7">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p>
    <w:p w14:paraId="18CCD291">
      <w:pPr>
        <w:pStyle w:val="2"/>
        <w:numPr>
          <w:ilvl w:val="0"/>
          <w:numId w:val="1"/>
        </w:numPr>
        <w:bidi w:val="0"/>
        <w:rPr>
          <w:rFonts w:hint="default" w:ascii="方正黑体_GBK" w:hAnsi="方正黑体_GBK" w:eastAsia="方正黑体_GBK" w:cs="方正黑体_GBK"/>
          <w:sz w:val="30"/>
          <w:szCs w:val="30"/>
          <w:lang w:val="en-US" w:eastAsia="zh-CN"/>
        </w:rPr>
      </w:pPr>
      <w:bookmarkStart w:id="2" w:name="_Toc417035385"/>
      <w:r>
        <w:rPr>
          <w:rFonts w:hint="default" w:ascii="方正黑体_GBK" w:hAnsi="方正黑体_GBK" w:eastAsia="方正黑体_GBK" w:cs="方正黑体_GBK"/>
          <w:sz w:val="30"/>
          <w:szCs w:val="30"/>
          <w:lang w:val="en-US" w:eastAsia="zh-CN"/>
        </w:rPr>
        <w:t>文件印发前后</w:t>
      </w:r>
      <w:r>
        <w:rPr>
          <w:rFonts w:hint="eastAsia" w:ascii="方正黑体_GBK" w:hAnsi="方正黑体_GBK" w:eastAsia="方正黑体_GBK" w:cs="方正黑体_GBK"/>
          <w:sz w:val="30"/>
          <w:szCs w:val="30"/>
          <w:lang w:val="en-US" w:eastAsia="zh-CN"/>
        </w:rPr>
        <w:t>，</w:t>
      </w:r>
      <w:r>
        <w:rPr>
          <w:rFonts w:hint="default" w:ascii="方正黑体_GBK" w:hAnsi="方正黑体_GBK" w:eastAsia="方正黑体_GBK" w:cs="方正黑体_GBK"/>
          <w:sz w:val="30"/>
          <w:szCs w:val="30"/>
          <w:lang w:val="en-US" w:eastAsia="zh-CN"/>
        </w:rPr>
        <w:t>省级非化石能源电力消费量核算方法有哪些变化？</w:t>
      </w:r>
      <w:bookmarkEnd w:id="2"/>
    </w:p>
    <w:p w14:paraId="3E30BD08">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eastAsia"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按照既有统计核算方法，文件印发前，省级非化石能源电力消费量主要以电能量交易为核算依据；文件印发后，在现行规则基础上，进一步使用绿证认定现货市场中无法明确“一对一”购售电关系和电量类型的电量，同时以绿证交易为载体支持各省自愿转让非化石能源电力消费量，作为电能量交易核算的补充。</w:t>
      </w:r>
    </w:p>
    <w:p w14:paraId="7A7FDDD1">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p>
    <w:p w14:paraId="53C6C554">
      <w:pPr>
        <w:pStyle w:val="2"/>
        <w:numPr>
          <w:ilvl w:val="0"/>
          <w:numId w:val="1"/>
        </w:numPr>
        <w:bidi w:val="0"/>
        <w:rPr>
          <w:rFonts w:hint="default" w:ascii="方正黑体_GBK" w:hAnsi="方正黑体_GBK" w:eastAsia="方正黑体_GBK" w:cs="方正黑体_GBK"/>
          <w:sz w:val="30"/>
          <w:szCs w:val="30"/>
          <w:lang w:val="en-US" w:eastAsia="zh-CN"/>
        </w:rPr>
      </w:pPr>
      <w:bookmarkStart w:id="3" w:name="_Toc762712778"/>
      <w:r>
        <w:rPr>
          <w:rFonts w:hint="default" w:ascii="方正黑体_GBK" w:hAnsi="方正黑体_GBK" w:eastAsia="方正黑体_GBK" w:cs="方正黑体_GBK"/>
          <w:sz w:val="30"/>
          <w:szCs w:val="30"/>
          <w:lang w:val="en-US" w:eastAsia="zh-CN"/>
        </w:rPr>
        <w:t>省级</w:t>
      </w:r>
      <w:r>
        <w:rPr>
          <w:rFonts w:hint="eastAsia" w:ascii="方正黑体_GBK" w:hAnsi="方正黑体_GBK" w:eastAsia="方正黑体_GBK" w:cs="方正黑体_GBK"/>
          <w:sz w:val="30"/>
          <w:szCs w:val="30"/>
          <w:lang w:val="en-US" w:eastAsia="zh-CN"/>
        </w:rPr>
        <w:t>层面以电能量交易为主开展非化石能源电力消费核算，地市、电力用户层面以绿证为主开展核算，</w:t>
      </w:r>
      <w:r>
        <w:rPr>
          <w:rFonts w:hint="default" w:ascii="方正黑体_GBK" w:hAnsi="方正黑体_GBK" w:eastAsia="方正黑体_GBK" w:cs="方正黑体_GBK"/>
          <w:sz w:val="30"/>
          <w:szCs w:val="30"/>
          <w:lang w:val="en-US" w:eastAsia="zh-CN"/>
        </w:rPr>
        <w:t>是否</w:t>
      </w:r>
      <w:r>
        <w:rPr>
          <w:rFonts w:hint="eastAsia" w:ascii="方正黑体_GBK" w:hAnsi="方正黑体_GBK" w:eastAsia="方正黑体_GBK" w:cs="方正黑体_GBK"/>
          <w:sz w:val="30"/>
          <w:szCs w:val="30"/>
          <w:lang w:val="en-US" w:eastAsia="zh-CN"/>
        </w:rPr>
        <w:t>会造成同一千瓦时非化石能源电力消费量重复计算</w:t>
      </w:r>
      <w:r>
        <w:rPr>
          <w:rFonts w:hint="default" w:ascii="方正黑体_GBK" w:hAnsi="方正黑体_GBK" w:eastAsia="方正黑体_GBK" w:cs="方正黑体_GBK"/>
          <w:sz w:val="30"/>
          <w:szCs w:val="30"/>
          <w:lang w:val="en-US" w:eastAsia="zh-CN"/>
        </w:rPr>
        <w:t>？</w:t>
      </w:r>
      <w:bookmarkEnd w:id="3"/>
    </w:p>
    <w:p w14:paraId="24ABB4D4">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不会造成重复计算。省级、地级和电力用户同一层面核算时，每千瓦时非化石能源电力消费量，只使用一种认定方式，只认定给一个主体，不同层级不叠加，从规则上避免了重复核算。</w:t>
      </w:r>
    </w:p>
    <w:p w14:paraId="1DF57DDB">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p>
    <w:p w14:paraId="61DE22EB">
      <w:pPr>
        <w:pStyle w:val="2"/>
        <w:numPr>
          <w:ilvl w:val="0"/>
          <w:numId w:val="1"/>
        </w:numPr>
        <w:bidi w:val="0"/>
        <w:rPr>
          <w:rFonts w:hint="default" w:ascii="方正黑体_GBK" w:hAnsi="方正黑体_GBK" w:eastAsia="方正黑体_GBK" w:cs="方正黑体_GBK"/>
          <w:sz w:val="30"/>
          <w:szCs w:val="30"/>
          <w:lang w:val="en-US" w:eastAsia="zh-CN"/>
        </w:rPr>
      </w:pPr>
      <w:bookmarkStart w:id="4" w:name="_Toc795460002"/>
      <w:r>
        <w:rPr>
          <w:rFonts w:hint="eastAsia" w:ascii="方正黑体_GBK" w:hAnsi="方正黑体_GBK" w:eastAsia="方正黑体_GBK" w:cs="方正黑体_GBK"/>
          <w:sz w:val="30"/>
          <w:szCs w:val="30"/>
          <w:lang w:val="en-US" w:eastAsia="zh-CN"/>
        </w:rPr>
        <w:t>《指南》明确了电力用户非化石能源电力消费核算方法，具体指哪些用户</w:t>
      </w:r>
      <w:r>
        <w:rPr>
          <w:rFonts w:hint="default" w:ascii="方正黑体_GBK" w:hAnsi="方正黑体_GBK" w:eastAsia="方正黑体_GBK" w:cs="方正黑体_GBK"/>
          <w:sz w:val="30"/>
          <w:szCs w:val="30"/>
          <w:lang w:val="en-US" w:eastAsia="zh-CN"/>
        </w:rPr>
        <w:t>？</w:t>
      </w:r>
      <w:bookmarkEnd w:id="4"/>
    </w:p>
    <w:p w14:paraId="3F03D2DC">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主要指大工业、一般工商业等。国家发展改革委等8部门联合印发《完善碳排放统计核算体系工作方案》（发改环资</w:t>
      </w:r>
      <w:r>
        <w:rPr>
          <w:rFonts w:hint="default" w:ascii="Times New Roman" w:hAnsi="Times New Roman" w:eastAsia="方正仿宋_GBK" w:cs="Times New Roman"/>
          <w:b w:val="0"/>
          <w:bCs w:val="0"/>
          <w:sz w:val="30"/>
          <w:szCs w:val="30"/>
          <w:lang w:val="en-US" w:eastAsia="zh-CN"/>
        </w:rPr>
        <w:t>〔2024〕1479</w:t>
      </w:r>
      <w:r>
        <w:rPr>
          <w:rFonts w:hint="eastAsia" w:ascii="方正仿宋_GBK" w:hAnsi="方正仿宋_GBK" w:eastAsia="方正仿宋_GBK" w:cs="方正仿宋_GBK"/>
          <w:b w:val="0"/>
          <w:bCs w:val="0"/>
          <w:sz w:val="30"/>
          <w:szCs w:val="30"/>
          <w:lang w:val="en-US" w:eastAsia="zh-CN"/>
        </w:rPr>
        <w:t>号</w:t>
      </w:r>
      <w:r>
        <w:rPr>
          <w:rFonts w:hint="eastAsia" w:ascii="Times New Roman" w:hAnsi="Times New Roman" w:eastAsia="方正仿宋_GBK" w:cs="Times New Roman"/>
          <w:b w:val="0"/>
          <w:bCs w:val="0"/>
          <w:sz w:val="30"/>
          <w:szCs w:val="30"/>
          <w:lang w:val="en-US" w:eastAsia="zh-CN"/>
        </w:rPr>
        <w:t>），提出在重点行业企业间接碳排放核算中，研究企业使用非化石能源电力相关碳排放计算方法。为更好满足非化石能源电力消费核算需求，《指南》研究明确了电力用户层面的具体核算办法，公共机构、小微企业等也可参考核算。</w:t>
      </w:r>
    </w:p>
    <w:p w14:paraId="1AC38C2F">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p>
    <w:p w14:paraId="6B77E280">
      <w:pPr>
        <w:pStyle w:val="2"/>
        <w:numPr>
          <w:ilvl w:val="0"/>
          <w:numId w:val="1"/>
        </w:numPr>
        <w:bidi w:val="0"/>
        <w:rPr>
          <w:rFonts w:hint="default" w:ascii="方正黑体_GBK" w:hAnsi="方正黑体_GBK" w:eastAsia="方正黑体_GBK" w:cs="方正黑体_GBK"/>
          <w:sz w:val="30"/>
          <w:szCs w:val="30"/>
          <w:lang w:val="en-US" w:eastAsia="zh-CN"/>
        </w:rPr>
      </w:pPr>
      <w:bookmarkStart w:id="5" w:name="_Toc331778065"/>
      <w:r>
        <w:rPr>
          <w:rFonts w:hint="default" w:ascii="方正黑体_GBK" w:hAnsi="方正黑体_GBK" w:eastAsia="方正黑体_GBK" w:cs="方正黑体_GBK"/>
          <w:sz w:val="30"/>
          <w:szCs w:val="30"/>
          <w:lang w:val="en-US" w:eastAsia="zh-CN"/>
        </w:rPr>
        <w:t>省级层面，省间交易认定量为什么要设置上限，上限怎么确定？</w:t>
      </w:r>
      <w:bookmarkEnd w:id="5"/>
    </w:p>
    <w:p w14:paraId="6C031E6A">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sz w:val="30"/>
          <w:szCs w:val="30"/>
          <w:lang w:val="en-US" w:eastAsia="zh-CN"/>
        </w:rPr>
        <w:t>省间非化石能源电力消费认定量，与省间电力间接碳排放转移量密切相关，与地方碳考核紧密关联。“十五五”是国家碳排放统计核算体系健全完善阶段，为避免对省级层面现有排放格局产生重大改变，试行阶段有必要设置省间交易认定上限，否则可能出现某省通过购买绿证将本省受入的全部化石能源电量置换为非化石能源电量的极限情形。省间交易认定量包括省间电能量交易认定量和省间绿证交易认定量，省间电能量交易认定量主要基于电能量交易规模开展核算，省间绿证交易认定上限应不超过本省全年受入（送出）电量与跨省跨区输电通道配套化石能源发电项目交易电量、省间电能量交易认定量的差值。</w:t>
      </w:r>
    </w:p>
    <w:p w14:paraId="32AB38D4">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p>
    <w:p w14:paraId="176159EF">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p>
    <w:p w14:paraId="53839C12">
      <w:pPr>
        <w:pStyle w:val="2"/>
        <w:numPr>
          <w:ilvl w:val="0"/>
          <w:numId w:val="1"/>
        </w:numPr>
        <w:bidi w:val="0"/>
        <w:rPr>
          <w:rFonts w:hint="default" w:ascii="方正黑体_GBK" w:hAnsi="方正黑体_GBK" w:eastAsia="方正黑体_GBK" w:cs="方正黑体_GBK"/>
          <w:sz w:val="30"/>
          <w:szCs w:val="30"/>
          <w:lang w:val="en-US" w:eastAsia="zh-CN"/>
        </w:rPr>
      </w:pPr>
      <w:bookmarkStart w:id="6" w:name="_Toc2037022883"/>
      <w:r>
        <w:rPr>
          <w:rFonts w:hint="default" w:ascii="方正黑体_GBK" w:hAnsi="方正黑体_GBK" w:eastAsia="方正黑体_GBK" w:cs="方正黑体_GBK"/>
          <w:sz w:val="30"/>
          <w:szCs w:val="30"/>
          <w:lang w:val="en-US" w:eastAsia="zh-CN"/>
        </w:rPr>
        <w:t>省间交易认定量</w:t>
      </w:r>
      <w:r>
        <w:rPr>
          <w:rFonts w:hint="eastAsia" w:ascii="方正黑体_GBK" w:hAnsi="方正黑体_GBK" w:eastAsia="方正黑体_GBK" w:cs="方正黑体_GBK"/>
          <w:sz w:val="30"/>
          <w:szCs w:val="30"/>
          <w:lang w:val="en-US" w:eastAsia="zh-CN"/>
        </w:rPr>
        <w:t>上限是否只针对购电/购证省</w:t>
      </w:r>
      <w:r>
        <w:rPr>
          <w:rFonts w:hint="default" w:ascii="方正黑体_GBK" w:hAnsi="方正黑体_GBK" w:eastAsia="方正黑体_GBK" w:cs="方正黑体_GBK"/>
          <w:sz w:val="30"/>
          <w:szCs w:val="30"/>
          <w:lang w:val="en-US" w:eastAsia="zh-CN"/>
        </w:rPr>
        <w:t>？</w:t>
      </w:r>
      <w:bookmarkEnd w:id="6"/>
    </w:p>
    <w:p w14:paraId="4BD6A95A">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省间交易认定量上限对购电/购证省、售电/售证省均有要求，可根据各自受入电量、送出电量、跨省跨区输电通道配套化石能源发电项目交易电量等情况分别确定</w:t>
      </w:r>
      <w:r>
        <w:rPr>
          <w:rFonts w:hint="eastAsia" w:ascii="Times New Roman" w:hAnsi="Times New Roman" w:eastAsia="方正仿宋_GBK" w:cs="Times New Roman"/>
          <w:sz w:val="30"/>
          <w:szCs w:val="30"/>
          <w:lang w:val="en-US" w:eastAsia="zh-CN"/>
        </w:rPr>
        <w:t>。</w:t>
      </w:r>
    </w:p>
    <w:p w14:paraId="68E48FD5">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p>
    <w:p w14:paraId="529FDA2D">
      <w:pPr>
        <w:pStyle w:val="2"/>
        <w:numPr>
          <w:ilvl w:val="0"/>
          <w:numId w:val="1"/>
        </w:numPr>
        <w:bidi w:val="0"/>
        <w:rPr>
          <w:rFonts w:hint="default" w:ascii="方正黑体_GBK" w:hAnsi="方正黑体_GBK" w:eastAsia="方正黑体_GBK" w:cs="方正黑体_GBK"/>
          <w:sz w:val="30"/>
          <w:szCs w:val="30"/>
          <w:lang w:val="en-US" w:eastAsia="zh-CN"/>
        </w:rPr>
      </w:pPr>
      <w:bookmarkStart w:id="7" w:name="_Toc1980997049"/>
      <w:r>
        <w:rPr>
          <w:rFonts w:hint="default" w:ascii="方正黑体_GBK" w:hAnsi="方正黑体_GBK" w:eastAsia="方正黑体_GBK" w:cs="方正黑体_GBK"/>
          <w:sz w:val="30"/>
          <w:szCs w:val="30"/>
          <w:lang w:val="en-US" w:eastAsia="zh-CN"/>
        </w:rPr>
        <w:t>地市</w:t>
      </w:r>
      <w:r>
        <w:rPr>
          <w:rFonts w:hint="eastAsia" w:ascii="方正黑体_GBK" w:hAnsi="方正黑体_GBK" w:eastAsia="方正黑体_GBK" w:cs="方正黑体_GBK"/>
          <w:sz w:val="30"/>
          <w:szCs w:val="30"/>
          <w:lang w:val="en-US" w:eastAsia="zh-CN"/>
        </w:rPr>
        <w:t>和电力用户</w:t>
      </w:r>
      <w:r>
        <w:rPr>
          <w:rFonts w:hint="default" w:ascii="方正黑体_GBK" w:hAnsi="方正黑体_GBK" w:eastAsia="方正黑体_GBK" w:cs="方正黑体_GBK"/>
          <w:sz w:val="30"/>
          <w:szCs w:val="30"/>
          <w:lang w:val="en-US" w:eastAsia="zh-CN"/>
        </w:rPr>
        <w:t>层面，交易认定量为什么要设置上限，上限怎么确定？</w:t>
      </w:r>
      <w:bookmarkEnd w:id="7"/>
    </w:p>
    <w:p w14:paraId="3F200E3A">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eastAsia"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为契合电力物理消费逻辑，地市和电力用户非化石能源电量认定的物理边界是所在省，因此要确保省级层面非化石能源电力消费总量与各地市非化石能源电力消费量加和一致，地市和电力用户层面购入绿证的认定量最大不能超过其下网电量。同时，为避免超额认定，本省所有用户购入省内绿证的认定量，最大不超过省内常规电能量交易中的可再生能源电量；购入省外绿证的认定量，最大不超过</w:t>
      </w:r>
      <w:r>
        <w:rPr>
          <w:rFonts w:hint="eastAsia" w:ascii="Times New Roman" w:hAnsi="Times New Roman" w:eastAsia="方正仿宋_GBK" w:cs="Times New Roman"/>
          <w:sz w:val="30"/>
          <w:szCs w:val="30"/>
          <w:lang w:val="en-US" w:eastAsia="zh-CN"/>
        </w:rPr>
        <w:t>本省全年受入电量与跨省跨区输电通道配套化石能源发电项目交易电量</w:t>
      </w:r>
      <w:r>
        <w:rPr>
          <w:rFonts w:hint="eastAsia" w:ascii="Times New Roman" w:hAnsi="Times New Roman" w:eastAsia="方正仿宋_GBK" w:cs="Times New Roman"/>
          <w:b w:val="0"/>
          <w:bCs w:val="0"/>
          <w:sz w:val="30"/>
          <w:szCs w:val="30"/>
          <w:lang w:val="en-US" w:eastAsia="zh-CN"/>
        </w:rPr>
        <w:t>的差值（扣除绿电）。</w:t>
      </w:r>
    </w:p>
    <w:p w14:paraId="52DADC67">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p>
    <w:p w14:paraId="65D89A46">
      <w:pPr>
        <w:pStyle w:val="2"/>
        <w:numPr>
          <w:ilvl w:val="0"/>
          <w:numId w:val="1"/>
        </w:numPr>
        <w:bidi w:val="0"/>
        <w:rPr>
          <w:rFonts w:hint="eastAsia" w:ascii="方正黑体_GBK" w:hAnsi="方正黑体_GBK" w:eastAsia="方正黑体_GBK" w:cs="方正黑体_GBK"/>
          <w:sz w:val="30"/>
          <w:szCs w:val="30"/>
          <w:lang w:val="en-US" w:eastAsia="zh-CN"/>
        </w:rPr>
      </w:pPr>
      <w:bookmarkStart w:id="8" w:name="_Toc680388684"/>
      <w:r>
        <w:rPr>
          <w:rFonts w:hint="eastAsia" w:ascii="方正黑体_GBK" w:hAnsi="方正黑体_GBK" w:eastAsia="方正黑体_GBK" w:cs="方正黑体_GBK"/>
          <w:sz w:val="30"/>
          <w:szCs w:val="30"/>
          <w:lang w:val="en-US" w:eastAsia="zh-CN"/>
        </w:rPr>
        <w:t>省级、地市、电力用户层面交易认定量上限由谁明确？</w:t>
      </w:r>
      <w:bookmarkEnd w:id="8"/>
    </w:p>
    <w:p w14:paraId="177D3C0F">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省级层面交易认定量上限由国家发展改革委、国家能源局指导北京电力交易中心、广州电力交易中心明确。地市层面交易认定量上限由省级能源主管部门、省级双碳工作主管部门指导对应省级电力交易中心明确。电力用户层面交易认定量上限由地方政府组织明确。</w:t>
      </w:r>
    </w:p>
    <w:p w14:paraId="6D119262">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p>
    <w:p w14:paraId="2ABDA111">
      <w:pPr>
        <w:pStyle w:val="2"/>
        <w:numPr>
          <w:ilvl w:val="0"/>
          <w:numId w:val="1"/>
        </w:numPr>
        <w:bidi w:val="0"/>
        <w:rPr>
          <w:rFonts w:hint="default" w:ascii="方正黑体_GBK" w:hAnsi="方正黑体_GBK" w:eastAsia="方正黑体_GBK" w:cs="方正黑体_GBK"/>
          <w:sz w:val="30"/>
          <w:szCs w:val="30"/>
          <w:lang w:val="en-US" w:eastAsia="zh-CN"/>
        </w:rPr>
      </w:pPr>
      <w:bookmarkStart w:id="9" w:name="_Toc1007009822"/>
      <w:r>
        <w:rPr>
          <w:rFonts w:hint="default" w:ascii="方正黑体_GBK" w:hAnsi="方正黑体_GBK" w:eastAsia="方正黑体_GBK" w:cs="方正黑体_GBK"/>
          <w:sz w:val="30"/>
          <w:szCs w:val="30"/>
          <w:lang w:val="en-US" w:eastAsia="zh-CN"/>
        </w:rPr>
        <w:t>为什么要开展省间</w:t>
      </w:r>
      <w:r>
        <w:rPr>
          <w:rFonts w:hint="eastAsia" w:ascii="方正黑体_GBK" w:hAnsi="方正黑体_GBK" w:eastAsia="方正黑体_GBK" w:cs="方正黑体_GBK"/>
          <w:sz w:val="30"/>
          <w:szCs w:val="30"/>
          <w:lang w:val="en-US" w:eastAsia="zh-CN"/>
        </w:rPr>
        <w:t>和省内</w:t>
      </w:r>
      <w:r>
        <w:rPr>
          <w:rFonts w:hint="default" w:ascii="方正黑体_GBK" w:hAnsi="方正黑体_GBK" w:eastAsia="方正黑体_GBK" w:cs="方正黑体_GBK"/>
          <w:sz w:val="30"/>
          <w:szCs w:val="30"/>
          <w:lang w:val="en-US" w:eastAsia="zh-CN"/>
        </w:rPr>
        <w:t>分摊？</w:t>
      </w:r>
      <w:bookmarkEnd w:id="9"/>
    </w:p>
    <w:p w14:paraId="5A2D5A33">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eastAsia" w:ascii="Times New Roman" w:hAnsi="Times New Roman" w:eastAsia="方正仿宋_GBK" w:cs="Times New Roman"/>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碳排放核算是《指南》的重要应用场景，</w:t>
      </w:r>
      <w:r>
        <w:rPr>
          <w:rFonts w:hint="eastAsia" w:ascii="Times New Roman" w:hAnsi="Times New Roman" w:eastAsia="方正仿宋_GBK" w:cs="Times New Roman"/>
          <w:sz w:val="30"/>
          <w:szCs w:val="30"/>
          <w:lang w:val="en-US" w:eastAsia="zh-CN"/>
        </w:rPr>
        <w:t>为确保碳排放核算精准全面，非化石能源电力消费认定优先通过物理认定、电能量交易和绿证交易等市场交易方式开展直接认定，明确每千瓦时电力消费的类别（非化石电力或化石电力），对于无法直接认定、归属不清晰的非化石能源电力，有必要统筹开展省间和省内分摊，使每千瓦时电力消费都能明确归属及类别，保证完整性。</w:t>
      </w:r>
    </w:p>
    <w:p w14:paraId="164FF58A">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p>
    <w:p w14:paraId="2D547A01">
      <w:pPr>
        <w:pStyle w:val="2"/>
        <w:numPr>
          <w:ilvl w:val="0"/>
          <w:numId w:val="1"/>
        </w:numPr>
        <w:bidi w:val="0"/>
        <w:rPr>
          <w:rFonts w:hint="eastAsia" w:ascii="方正黑体_GBK" w:hAnsi="方正黑体_GBK" w:eastAsia="方正黑体_GBK" w:cs="方正黑体_GBK"/>
          <w:sz w:val="30"/>
          <w:szCs w:val="30"/>
          <w:lang w:val="en-US" w:eastAsia="zh-CN"/>
        </w:rPr>
      </w:pPr>
      <w:bookmarkStart w:id="10" w:name="_Toc1467452133"/>
      <w:r>
        <w:rPr>
          <w:rFonts w:hint="eastAsia" w:ascii="方正黑体_GBK" w:hAnsi="方正黑体_GBK" w:eastAsia="方正黑体_GBK" w:cs="方正黑体_GBK"/>
          <w:sz w:val="30"/>
          <w:szCs w:val="30"/>
          <w:lang w:val="en-US" w:eastAsia="zh-CN"/>
        </w:rPr>
        <w:t>省间现货交易为什么存在无法明确“一对一”购售电关系和电量类型的情况？</w:t>
      </w:r>
      <w:bookmarkEnd w:id="10"/>
    </w:p>
    <w:p w14:paraId="53BB082E">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我国省间现货市场因运营区域机制设计不同，目前仅南方电网经营区域存在该种情况。具体来看，国家电网经营区域的省间现货交易采用点对点市场化匹配模式，每笔交易均可精准对应发电主体与用电主体，同步清晰界定交易电量的具体类型。南方电网采用区域统一电力市场模式，所有参与市场的发电、用电主体均在统一市场中开展集中竞争、出清与结算，因交易与结算环节未对单个发电主体和用电主体进行直接匹配，因此无法明确具体的“一对一”购售电关系，相应的电量类型也难以对应到具体发用电主体。</w:t>
      </w:r>
    </w:p>
    <w:p w14:paraId="663DF4D3">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p>
    <w:p w14:paraId="105D282D">
      <w:pPr>
        <w:pStyle w:val="2"/>
        <w:numPr>
          <w:ilvl w:val="0"/>
          <w:numId w:val="1"/>
        </w:numPr>
        <w:bidi w:val="0"/>
        <w:rPr>
          <w:rFonts w:hint="default" w:ascii="方正黑体_GBK" w:hAnsi="方正黑体_GBK" w:eastAsia="方正黑体_GBK" w:cs="方正黑体_GBK"/>
          <w:sz w:val="30"/>
          <w:szCs w:val="30"/>
          <w:lang w:val="en-US" w:eastAsia="zh-CN"/>
        </w:rPr>
      </w:pPr>
      <w:bookmarkStart w:id="11" w:name="_Toc1861197676"/>
      <w:r>
        <w:rPr>
          <w:rFonts w:hint="eastAsia" w:ascii="方正黑体_GBK" w:hAnsi="方正黑体_GBK" w:eastAsia="方正黑体_GBK" w:cs="方正黑体_GBK"/>
          <w:sz w:val="30"/>
          <w:szCs w:val="30"/>
          <w:lang w:val="en-US" w:eastAsia="zh-CN"/>
        </w:rPr>
        <w:t>地市和电力用户层面以绿证交易为主开展非化石能源电力消费核算，</w:t>
      </w:r>
      <w:r>
        <w:rPr>
          <w:rFonts w:hint="default" w:ascii="方正黑体_GBK" w:hAnsi="方正黑体_GBK" w:eastAsia="方正黑体_GBK" w:cs="方正黑体_GBK"/>
          <w:sz w:val="30"/>
          <w:szCs w:val="30"/>
          <w:lang w:val="en-US" w:eastAsia="zh-CN"/>
        </w:rPr>
        <w:t>是否会</w:t>
      </w:r>
      <w:r>
        <w:rPr>
          <w:rFonts w:hint="eastAsia" w:ascii="方正黑体_GBK" w:hAnsi="方正黑体_GBK" w:eastAsia="方正黑体_GBK" w:cs="方正黑体_GBK"/>
          <w:sz w:val="30"/>
          <w:szCs w:val="30"/>
          <w:lang w:val="en-US" w:eastAsia="zh-CN"/>
        </w:rPr>
        <w:t>存在超额认定、导致地市或电力用户认定量总和</w:t>
      </w:r>
      <w:r>
        <w:rPr>
          <w:rFonts w:hint="default" w:ascii="方正黑体_GBK" w:hAnsi="方正黑体_GBK" w:eastAsia="方正黑体_GBK" w:cs="方正黑体_GBK"/>
          <w:sz w:val="30"/>
          <w:szCs w:val="30"/>
          <w:lang w:val="en-US" w:eastAsia="zh-CN"/>
        </w:rPr>
        <w:t>超过省级非化石能源电力消费量</w:t>
      </w:r>
      <w:r>
        <w:rPr>
          <w:rFonts w:hint="eastAsia" w:ascii="方正黑体_GBK" w:hAnsi="方正黑体_GBK" w:eastAsia="方正黑体_GBK" w:cs="方正黑体_GBK"/>
          <w:sz w:val="30"/>
          <w:szCs w:val="30"/>
          <w:lang w:val="en-US" w:eastAsia="zh-CN"/>
        </w:rPr>
        <w:t>的情况</w:t>
      </w:r>
      <w:r>
        <w:rPr>
          <w:rFonts w:hint="default" w:ascii="方正黑体_GBK" w:hAnsi="方正黑体_GBK" w:eastAsia="方正黑体_GBK" w:cs="方正黑体_GBK"/>
          <w:sz w:val="30"/>
          <w:szCs w:val="30"/>
          <w:lang w:val="en-US" w:eastAsia="zh-CN"/>
        </w:rPr>
        <w:t>？</w:t>
      </w:r>
      <w:bookmarkEnd w:id="11"/>
    </w:p>
    <w:p w14:paraId="2032D471">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不会出现该情况。绿证交易包括省内交易和省间交易，地市和用户层面开展绿证交易认定时均明确了认定上限。其中，省内绿证交易认定上限为省内常规电能量交易中的可再生能源电量，省间绿证交易认定上限为</w:t>
      </w:r>
      <w:r>
        <w:rPr>
          <w:rFonts w:hint="eastAsia" w:ascii="Times New Roman" w:hAnsi="Times New Roman" w:eastAsia="方正仿宋_GBK" w:cs="Times New Roman"/>
          <w:sz w:val="30"/>
          <w:szCs w:val="30"/>
          <w:lang w:val="en-US" w:eastAsia="zh-CN"/>
        </w:rPr>
        <w:t>本省全年受入（送出）电量与跨省跨区输电通道配套化石能源发电项目交易电量、省间电能量交易认定量的差值</w:t>
      </w:r>
      <w:r>
        <w:rPr>
          <w:rFonts w:hint="eastAsia" w:ascii="Times New Roman" w:hAnsi="Times New Roman" w:eastAsia="方正仿宋_GBK" w:cs="Times New Roman"/>
          <w:b w:val="0"/>
          <w:bCs w:val="0"/>
          <w:sz w:val="30"/>
          <w:szCs w:val="30"/>
          <w:lang w:val="en-US" w:eastAsia="zh-CN"/>
        </w:rPr>
        <w:t>。两类交易认定量均以电能量交易电量为上限，地级或电力用户绿证交易认定量总和，均不会超过以电能量交易为基础统计核算的省级非化石能源电力消费量。</w:t>
      </w:r>
    </w:p>
    <w:p w14:paraId="0F4E2D6D">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b w:val="0"/>
          <w:bCs w:val="0"/>
          <w:sz w:val="30"/>
          <w:szCs w:val="30"/>
          <w:lang w:val="en-US" w:eastAsia="zh-CN"/>
        </w:rPr>
      </w:pPr>
    </w:p>
    <w:p w14:paraId="476B7EF5">
      <w:pPr>
        <w:pStyle w:val="2"/>
        <w:keepNext w:val="0"/>
        <w:keepLines w:val="0"/>
        <w:pageBreakBefore w:val="0"/>
        <w:widowControl w:val="0"/>
        <w:numPr>
          <w:ilvl w:val="0"/>
          <w:numId w:val="1"/>
        </w:numPr>
        <w:kinsoku/>
        <w:wordWrap/>
        <w:overflowPunct/>
        <w:topLinePunct w:val="0"/>
        <w:autoSpaceDE/>
        <w:autoSpaceDN/>
        <w:bidi w:val="0"/>
        <w:adjustRightInd/>
        <w:snapToGrid/>
        <w:textAlignment w:val="auto"/>
        <w:rPr>
          <w:rFonts w:hint="default" w:ascii="方正黑体_GBK" w:hAnsi="方正黑体_GBK" w:eastAsia="方正黑体_GBK" w:cs="方正黑体_GBK"/>
          <w:sz w:val="30"/>
          <w:szCs w:val="30"/>
          <w:lang w:val="en-US" w:eastAsia="zh-CN"/>
        </w:rPr>
      </w:pPr>
      <w:bookmarkStart w:id="12" w:name="_Toc1582698320"/>
      <w:r>
        <w:rPr>
          <w:rFonts w:hint="default" w:ascii="方正黑体_GBK" w:hAnsi="方正黑体_GBK" w:eastAsia="方正黑体_GBK" w:cs="方正黑体_GBK"/>
          <w:sz w:val="30"/>
          <w:szCs w:val="30"/>
          <w:lang w:val="en-US" w:eastAsia="zh-CN"/>
        </w:rPr>
        <w:t>如何</w:t>
      </w:r>
      <w:r>
        <w:rPr>
          <w:rFonts w:hint="eastAsia" w:ascii="方正黑体_GBK" w:hAnsi="方正黑体_GBK" w:eastAsia="方正黑体_GBK" w:cs="方正黑体_GBK"/>
          <w:sz w:val="30"/>
          <w:szCs w:val="30"/>
          <w:lang w:val="en-US" w:eastAsia="zh-CN"/>
        </w:rPr>
        <w:t>引导电力用户按需购买绿证</w:t>
      </w:r>
      <w:r>
        <w:rPr>
          <w:rFonts w:hint="default" w:ascii="方正黑体_GBK" w:hAnsi="方正黑体_GBK" w:eastAsia="方正黑体_GBK" w:cs="方正黑体_GBK"/>
          <w:sz w:val="30"/>
          <w:szCs w:val="30"/>
          <w:lang w:val="en-US" w:eastAsia="zh-CN"/>
        </w:rPr>
        <w:t>？</w:t>
      </w:r>
      <w:r>
        <w:rPr>
          <w:rFonts w:hint="eastAsia" w:ascii="方正黑体_GBK" w:hAnsi="方正黑体_GBK" w:eastAsia="方正黑体_GBK" w:cs="方正黑体_GBK"/>
          <w:sz w:val="30"/>
          <w:szCs w:val="30"/>
          <w:lang w:val="en-US" w:eastAsia="zh-CN"/>
        </w:rPr>
        <w:t>电力</w:t>
      </w:r>
      <w:r>
        <w:rPr>
          <w:rFonts w:hint="default" w:ascii="方正黑体_GBK" w:hAnsi="方正黑体_GBK" w:eastAsia="方正黑体_GBK" w:cs="方正黑体_GBK"/>
          <w:sz w:val="30"/>
          <w:szCs w:val="30"/>
          <w:lang w:val="en-US" w:eastAsia="zh-CN"/>
        </w:rPr>
        <w:t>用户</w:t>
      </w:r>
      <w:r>
        <w:rPr>
          <w:rFonts w:hint="eastAsia" w:ascii="方正黑体_GBK" w:hAnsi="方正黑体_GBK" w:eastAsia="方正黑体_GBK" w:cs="方正黑体_GBK"/>
          <w:sz w:val="30"/>
          <w:szCs w:val="30"/>
          <w:lang w:val="en-US" w:eastAsia="zh-CN"/>
        </w:rPr>
        <w:t>购买超出认定上限的</w:t>
      </w:r>
      <w:r>
        <w:rPr>
          <w:rFonts w:hint="default" w:ascii="方正黑体_GBK" w:hAnsi="方正黑体_GBK" w:eastAsia="方正黑体_GBK" w:cs="方正黑体_GBK"/>
          <w:sz w:val="30"/>
          <w:szCs w:val="30"/>
          <w:lang w:val="en-US" w:eastAsia="zh-CN"/>
        </w:rPr>
        <w:t>绿证</w:t>
      </w:r>
      <w:r>
        <w:rPr>
          <w:rFonts w:hint="eastAsia" w:ascii="方正黑体_GBK" w:hAnsi="方正黑体_GBK" w:eastAsia="方正黑体_GBK" w:cs="方正黑体_GBK"/>
          <w:sz w:val="30"/>
          <w:szCs w:val="30"/>
          <w:lang w:val="en-US" w:eastAsia="zh-CN"/>
        </w:rPr>
        <w:t>有什么用</w:t>
      </w:r>
      <w:r>
        <w:rPr>
          <w:rFonts w:hint="default" w:ascii="方正黑体_GBK" w:hAnsi="方正黑体_GBK" w:eastAsia="方正黑体_GBK" w:cs="方正黑体_GBK"/>
          <w:sz w:val="30"/>
          <w:szCs w:val="30"/>
          <w:lang w:val="en-US" w:eastAsia="zh-CN"/>
        </w:rPr>
        <w:t>？</w:t>
      </w:r>
      <w:bookmarkEnd w:id="12"/>
    </w:p>
    <w:p w14:paraId="7DC46120">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一方面，加强政策引导，多维度组织做好核算规则宣贯，做好绿证交易认定规则解读；另一方面，强化技术把关，完善绿证核发交易系统功能，增加信息提示，引导电力用户按需购买用于非化石能源电力消费核算的绿证。对于超出非化石能源电力消费核算认定上限的绿证，不再纳入各层级非化石能源电力消费的认定，购证方可结合其他绿证应用场景自愿声明，例如企业完成自主设定的绿色电力消费目标等。</w:t>
      </w:r>
    </w:p>
    <w:p w14:paraId="0DF13EA7">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eastAsia" w:ascii="Times New Roman" w:hAnsi="Times New Roman" w:eastAsia="方正仿宋_GBK" w:cs="Times New Roman"/>
          <w:sz w:val="30"/>
          <w:szCs w:val="30"/>
          <w:lang w:val="en-US" w:eastAsia="zh-CN"/>
        </w:rPr>
      </w:pPr>
    </w:p>
    <w:p w14:paraId="225EEEEF">
      <w:pPr>
        <w:pStyle w:val="2"/>
        <w:numPr>
          <w:ilvl w:val="0"/>
          <w:numId w:val="1"/>
        </w:numPr>
        <w:bidi w:val="0"/>
        <w:rPr>
          <w:rFonts w:hint="default" w:ascii="方正黑体_GBK" w:hAnsi="方正黑体_GBK" w:eastAsia="方正黑体_GBK" w:cs="方正黑体_GBK"/>
          <w:sz w:val="30"/>
          <w:szCs w:val="30"/>
          <w:lang w:val="en-US" w:eastAsia="zh-CN"/>
        </w:rPr>
      </w:pPr>
      <w:bookmarkStart w:id="13" w:name="_Toc223673774"/>
      <w:r>
        <w:rPr>
          <w:rFonts w:hint="default" w:ascii="方正黑体_GBK" w:hAnsi="方正黑体_GBK" w:eastAsia="方正黑体_GBK" w:cs="方正黑体_GBK"/>
          <w:sz w:val="30"/>
          <w:szCs w:val="30"/>
          <w:lang w:val="en-US" w:eastAsia="zh-CN"/>
        </w:rPr>
        <w:t>从</w:t>
      </w:r>
      <w:r>
        <w:rPr>
          <w:rFonts w:hint="eastAsia" w:ascii="方正黑体_GBK" w:hAnsi="方正黑体_GBK" w:eastAsia="方正黑体_GBK" w:cs="方正黑体_GBK"/>
          <w:sz w:val="30"/>
          <w:szCs w:val="30"/>
          <w:lang w:val="en-US" w:eastAsia="zh-CN"/>
        </w:rPr>
        <w:t>电力</w:t>
      </w:r>
      <w:r>
        <w:rPr>
          <w:rFonts w:hint="default" w:ascii="方正黑体_GBK" w:hAnsi="方正黑体_GBK" w:eastAsia="方正黑体_GBK" w:cs="方正黑体_GBK"/>
          <w:sz w:val="30"/>
          <w:szCs w:val="30"/>
          <w:lang w:val="en-US" w:eastAsia="zh-CN"/>
        </w:rPr>
        <w:t>用户角度出发，</w:t>
      </w:r>
      <w:r>
        <w:rPr>
          <w:rFonts w:hint="eastAsia" w:ascii="方正黑体_GBK" w:hAnsi="方正黑体_GBK" w:eastAsia="方正黑体_GBK" w:cs="方正黑体_GBK"/>
          <w:sz w:val="30"/>
          <w:szCs w:val="30"/>
          <w:lang w:val="en-US" w:eastAsia="zh-CN"/>
        </w:rPr>
        <w:t>为做好自身非化石能源电力消费量核算，应</w:t>
      </w:r>
      <w:r>
        <w:rPr>
          <w:rFonts w:hint="default" w:ascii="方正黑体_GBK" w:hAnsi="方正黑体_GBK" w:eastAsia="方正黑体_GBK" w:cs="方正黑体_GBK"/>
          <w:sz w:val="30"/>
          <w:szCs w:val="30"/>
          <w:lang w:val="en-US" w:eastAsia="zh-CN"/>
        </w:rPr>
        <w:t>如何参与</w:t>
      </w:r>
      <w:r>
        <w:rPr>
          <w:rFonts w:hint="eastAsia" w:ascii="方正黑体_GBK" w:hAnsi="方正黑体_GBK" w:eastAsia="方正黑体_GBK" w:cs="方正黑体_GBK"/>
          <w:sz w:val="30"/>
          <w:szCs w:val="30"/>
          <w:lang w:val="en-US" w:eastAsia="zh-CN"/>
        </w:rPr>
        <w:t>绿证、绿电</w:t>
      </w:r>
      <w:r>
        <w:rPr>
          <w:rFonts w:hint="default" w:ascii="方正黑体_GBK" w:hAnsi="方正黑体_GBK" w:eastAsia="方正黑体_GBK" w:cs="方正黑体_GBK"/>
          <w:sz w:val="30"/>
          <w:szCs w:val="30"/>
          <w:lang w:val="en-US" w:eastAsia="zh-CN"/>
        </w:rPr>
        <w:t>交易？</w:t>
      </w:r>
      <w:bookmarkEnd w:id="13"/>
    </w:p>
    <w:p w14:paraId="1FA02D4E">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为做好非化石能源电力消费量核算、规范参与绿证绿电交易，电力用户需做好两方面工作：一是测算需购买绿证规模，综合考量自身下网电量、非化石能源自发自用及绿电直连项目自用电量、已购入的省间省内绿电和核电市场交易电量，结合直接划转、省级绿证账户分配的绿证数量，参考本省能源主管部门发布的往期省级非化石能源电力消费分摊系数等，核算出仍需购买用于非化石能源电力消费核算的绿证规模；二是按需开展绿证交易，及时关注绿证核发和交易机构披露的绿证交易、交易认定上限等信息，通过任一绿证交易平台开展省内或省间绿证交易。</w:t>
      </w:r>
    </w:p>
    <w:p w14:paraId="554ED293">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b w:val="0"/>
          <w:bCs w:val="0"/>
          <w:sz w:val="30"/>
          <w:szCs w:val="30"/>
          <w:lang w:val="en-US" w:eastAsia="zh-CN"/>
        </w:rPr>
      </w:pPr>
    </w:p>
    <w:p w14:paraId="595BCE3E">
      <w:pPr>
        <w:pStyle w:val="2"/>
        <w:numPr>
          <w:ilvl w:val="0"/>
          <w:numId w:val="1"/>
        </w:numPr>
        <w:bidi w:val="0"/>
        <w:rPr>
          <w:rFonts w:hint="default" w:ascii="方正黑体_GBK" w:hAnsi="方正黑体_GBK" w:eastAsia="方正黑体_GBK" w:cs="方正黑体_GBK"/>
          <w:sz w:val="30"/>
          <w:szCs w:val="30"/>
          <w:lang w:val="en-US" w:eastAsia="zh-CN"/>
        </w:rPr>
      </w:pPr>
      <w:bookmarkStart w:id="14" w:name="_Toc1763276720"/>
      <w:r>
        <w:rPr>
          <w:rFonts w:hint="eastAsia" w:ascii="方正黑体_GBK" w:hAnsi="方正黑体_GBK" w:eastAsia="方正黑体_GBK" w:cs="方正黑体_GBK"/>
          <w:sz w:val="30"/>
          <w:szCs w:val="30"/>
          <w:lang w:val="en-US" w:eastAsia="zh-CN"/>
        </w:rPr>
        <w:t>电力用户层面购买的哪些绿证可以纳入所在地市和省级层面非化石能源电力消费核算</w:t>
      </w:r>
      <w:r>
        <w:rPr>
          <w:rFonts w:hint="default" w:ascii="方正黑体_GBK" w:hAnsi="方正黑体_GBK" w:eastAsia="方正黑体_GBK" w:cs="方正黑体_GBK"/>
          <w:sz w:val="30"/>
          <w:szCs w:val="30"/>
          <w:lang w:val="en-US" w:eastAsia="zh-CN"/>
        </w:rPr>
        <w:t>？</w:t>
      </w:r>
      <w:bookmarkEnd w:id="14"/>
    </w:p>
    <w:p w14:paraId="5DC39D33">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《指南》明确了绿证在省级、地市和电力用户层面的认定规则，具体包括：</w:t>
      </w:r>
    </w:p>
    <w:p w14:paraId="3925CFE9">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Arial" w:hAnsi="Arial" w:eastAsia="方正仿宋_GBK" w:cs="Arial"/>
          <w:sz w:val="30"/>
          <w:szCs w:val="30"/>
          <w:lang w:val="en-US" w:eastAsia="zh-CN"/>
        </w:rPr>
      </w:pPr>
      <w:r>
        <w:rPr>
          <w:rFonts w:hint="eastAsia" w:ascii="Arial" w:hAnsi="Arial" w:eastAsia="方正仿宋_GBK" w:cs="Arial"/>
          <w:sz w:val="30"/>
          <w:szCs w:val="30"/>
          <w:lang w:val="en-US" w:eastAsia="zh-CN"/>
        </w:rPr>
        <w:t>电力用户购入的省内绿证，在本省认定上限内的对应电量，可认定到所在地市，但由于本省非化石能源电力消费核算中已按发电量作了考虑，不再重复认定到所在省。</w:t>
      </w:r>
    </w:p>
    <w:p w14:paraId="642781B8">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lang w:val="en-US" w:eastAsia="zh-CN"/>
        </w:rPr>
      </w:pPr>
      <w:r>
        <w:rPr>
          <w:rFonts w:hint="eastAsia" w:ascii="Arial" w:hAnsi="Arial" w:eastAsia="方正仿宋_GBK" w:cs="Arial"/>
          <w:sz w:val="30"/>
          <w:szCs w:val="30"/>
          <w:lang w:val="en-US" w:eastAsia="zh-CN"/>
        </w:rPr>
        <w:t>电力用户购入的省外绿证中，符合《指南》附件</w:t>
      </w:r>
      <w:r>
        <w:rPr>
          <w:rFonts w:hint="default" w:ascii="Times New Roman" w:hAnsi="Times New Roman" w:eastAsia="方正仿宋_GBK" w:cs="Times New Roman"/>
          <w:sz w:val="30"/>
          <w:szCs w:val="30"/>
          <w:lang w:val="en-US" w:eastAsia="zh-CN"/>
        </w:rPr>
        <w:t>1</w:t>
      </w:r>
      <w:r>
        <w:rPr>
          <w:rFonts w:hint="eastAsia" w:ascii="Arial" w:hAnsi="Arial" w:eastAsia="方正仿宋_GBK" w:cs="Arial"/>
          <w:sz w:val="30"/>
          <w:szCs w:val="30"/>
          <w:lang w:val="en-US" w:eastAsia="zh-CN"/>
        </w:rPr>
        <w:t>省级行政区域非化石能源电力消费量核算关于省间绿证交易认定方式的，可认定到所在地市和所在省；其余的省外绿证，在《指南》附件</w:t>
      </w:r>
      <w:r>
        <w:rPr>
          <w:rFonts w:hint="default" w:ascii="Times New Roman" w:hAnsi="Times New Roman" w:eastAsia="方正仿宋_GBK" w:cs="Times New Roman"/>
          <w:sz w:val="30"/>
          <w:szCs w:val="30"/>
          <w:lang w:val="en-US" w:eastAsia="zh-CN"/>
        </w:rPr>
        <w:t>3</w:t>
      </w:r>
      <w:r>
        <w:rPr>
          <w:rFonts w:hint="eastAsia" w:ascii="Times New Roman" w:hAnsi="Times New Roman" w:eastAsia="方正仿宋_GBK" w:cs="Times New Roman"/>
          <w:sz w:val="30"/>
          <w:szCs w:val="30"/>
          <w:lang w:val="en-US" w:eastAsia="zh-CN"/>
        </w:rPr>
        <w:t>明确的上限以内的对应电量，可认定到所在地市，</w:t>
      </w:r>
      <w:r>
        <w:rPr>
          <w:rFonts w:hint="eastAsia" w:ascii="Arial" w:hAnsi="Arial" w:eastAsia="方正仿宋_GBK" w:cs="Arial"/>
          <w:sz w:val="30"/>
          <w:szCs w:val="30"/>
          <w:lang w:val="en-US" w:eastAsia="zh-CN"/>
        </w:rPr>
        <w:t>但由于省间电能量交易认定中已认定了与绿证对应电量规模相当的电能量交易电量，</w:t>
      </w:r>
      <w:r>
        <w:rPr>
          <w:rFonts w:hint="eastAsia" w:ascii="Times New Roman" w:hAnsi="Times New Roman" w:eastAsia="方正仿宋_GBK" w:cs="Times New Roman"/>
          <w:sz w:val="30"/>
          <w:szCs w:val="30"/>
          <w:lang w:val="en-US" w:eastAsia="zh-CN"/>
        </w:rPr>
        <w:t>不再重复认定到所在省。</w:t>
      </w:r>
    </w:p>
    <w:p w14:paraId="018E17F1">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Arial" w:hAnsi="Arial" w:eastAsia="方正仿宋_GBK" w:cs="Arial"/>
          <w:sz w:val="30"/>
          <w:szCs w:val="30"/>
          <w:lang w:val="en-US" w:eastAsia="zh-CN"/>
        </w:rPr>
      </w:pPr>
      <w:r>
        <w:rPr>
          <w:rFonts w:hint="eastAsia" w:ascii="Arial" w:hAnsi="Arial" w:eastAsia="方正仿宋_GBK" w:cs="Arial"/>
          <w:sz w:val="30"/>
          <w:szCs w:val="30"/>
          <w:lang w:val="en-US" w:eastAsia="zh-CN"/>
        </w:rPr>
        <w:t>电力</w:t>
      </w:r>
      <w:r>
        <w:rPr>
          <w:rFonts w:hint="eastAsia" w:ascii="仿宋" w:hAnsi="仿宋" w:eastAsia="仿宋" w:cs="仿宋"/>
          <w:sz w:val="30"/>
          <w:szCs w:val="30"/>
          <w:lang w:val="en-US" w:eastAsia="zh-CN"/>
        </w:rPr>
        <w:t>用户获得的</w:t>
      </w:r>
      <w:r>
        <w:rPr>
          <w:rFonts w:hint="eastAsia" w:ascii="Arial" w:hAnsi="Arial" w:eastAsia="方正仿宋_GBK" w:cs="Arial"/>
          <w:sz w:val="30"/>
          <w:szCs w:val="30"/>
          <w:lang w:val="en-US" w:eastAsia="zh-CN"/>
        </w:rPr>
        <w:t>省级账户划转或分配的绿证，以及省间和省内存量常规水电交易直接划转的不可交易绿证，对应电量可认定为所在地市，但由于来自省外的绿证，省间电能量交易认定中已认定了与绿证对应电量规模相当的电能量交易电量，来自省内的绿证，本省非化石能源电力消费核算中已按发电量作了考虑，不再能重复认定到所在省。</w:t>
      </w:r>
    </w:p>
    <w:p w14:paraId="129C7A9B">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Arial" w:hAnsi="Arial" w:eastAsia="方正仿宋_GBK" w:cs="Arial"/>
          <w:sz w:val="30"/>
          <w:szCs w:val="30"/>
          <w:lang w:val="en-US" w:eastAsia="zh-CN"/>
        </w:rPr>
      </w:pPr>
      <w:r>
        <w:rPr>
          <w:rFonts w:hint="eastAsia" w:ascii="Arial" w:hAnsi="Arial" w:eastAsia="方正仿宋_GBK" w:cs="Arial"/>
          <w:sz w:val="30"/>
          <w:szCs w:val="30"/>
          <w:lang w:val="en-US" w:eastAsia="zh-CN"/>
        </w:rPr>
        <w:t>电力用户参与绿电交易持有的绿证，省内绿电交易电量可认定到所在地市，但由于本省非化石能源电力消费核算中已按发电量作了考虑，不再重复认定到所在省；省间绿电交易电量可认定到所在地市和所在省。</w:t>
      </w:r>
    </w:p>
    <w:p w14:paraId="3EEBBB10">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Arial" w:hAnsi="Arial" w:eastAsia="方正仿宋_GBK" w:cs="Arial"/>
          <w:sz w:val="30"/>
          <w:szCs w:val="30"/>
          <w:lang w:val="en-US" w:eastAsia="zh-CN"/>
        </w:rPr>
      </w:pPr>
    </w:p>
    <w:p w14:paraId="26648CAD">
      <w:pPr>
        <w:pStyle w:val="2"/>
        <w:numPr>
          <w:ilvl w:val="0"/>
          <w:numId w:val="1"/>
        </w:numPr>
        <w:bidi w:val="0"/>
        <w:rPr>
          <w:rFonts w:hint="eastAsia" w:ascii="方正黑体_GBK" w:hAnsi="方正黑体_GBK" w:eastAsia="方正黑体_GBK" w:cs="方正黑体_GBK"/>
          <w:sz w:val="30"/>
          <w:szCs w:val="30"/>
          <w:lang w:val="en-US" w:eastAsia="zh-CN"/>
        </w:rPr>
      </w:pPr>
      <w:bookmarkStart w:id="15" w:name="_Toc1678032145"/>
      <w:r>
        <w:rPr>
          <w:rFonts w:hint="eastAsia" w:ascii="方正黑体_GBK" w:hAnsi="方正黑体_GBK" w:eastAsia="方正黑体_GBK" w:cs="方正黑体_GBK"/>
          <w:sz w:val="30"/>
          <w:szCs w:val="30"/>
          <w:lang w:val="en-US" w:eastAsia="zh-CN"/>
        </w:rPr>
        <w:t>如何理解非化石能源发电项目生产耗用电量？</w:t>
      </w:r>
      <w:bookmarkEnd w:id="15"/>
    </w:p>
    <w:p w14:paraId="6668F0BF">
      <w:pPr>
        <w:keepNext w:val="0"/>
        <w:keepLines w:val="0"/>
        <w:pageBreakBefore w:val="0"/>
        <w:widowControl w:val="0"/>
        <w:numPr>
          <w:ilvl w:val="-1"/>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lang w:val="en-US" w:eastAsia="zh-CN"/>
        </w:rPr>
      </w:pPr>
      <w:bookmarkStart w:id="16" w:name="OLE_LINK1"/>
      <w:r>
        <w:rPr>
          <w:rFonts w:hint="eastAsia" w:ascii="方正黑体_GBK" w:hAnsi="方正黑体_GBK" w:eastAsia="方正黑体_GBK" w:cs="方正黑体_GBK"/>
          <w:b w:val="0"/>
          <w:bCs w:val="0"/>
          <w:sz w:val="30"/>
          <w:szCs w:val="30"/>
          <w:lang w:val="en-US" w:eastAsia="zh-CN"/>
        </w:rPr>
        <w:t>答：</w:t>
      </w:r>
      <w:bookmarkEnd w:id="16"/>
      <w:r>
        <w:rPr>
          <w:rFonts w:hint="eastAsia" w:ascii="Times New Roman" w:hAnsi="Times New Roman" w:eastAsia="方正仿宋_GBK" w:cs="Times New Roman"/>
          <w:sz w:val="30"/>
          <w:szCs w:val="30"/>
        </w:rPr>
        <w:t>非化石能源发电项目生产耗用电量，即</w:t>
      </w:r>
      <w:r>
        <w:rPr>
          <w:rFonts w:hint="eastAsia" w:ascii="Times New Roman" w:hAnsi="Times New Roman" w:eastAsia="方正仿宋_GBK" w:cs="Times New Roman"/>
          <w:b w:val="0"/>
          <w:bCs w:val="0"/>
          <w:sz w:val="30"/>
          <w:szCs w:val="30"/>
        </w:rPr>
        <w:t>厂用电量</w:t>
      </w:r>
      <w:r>
        <w:rPr>
          <w:rFonts w:hint="eastAsia" w:ascii="Times New Roman" w:hAnsi="Times New Roman" w:eastAsia="方正仿宋_GBK" w:cs="Times New Roman"/>
          <w:sz w:val="30"/>
          <w:szCs w:val="30"/>
        </w:rPr>
        <w:t>，是指非化石能源发电项目在生产电能过程中，为维持自身机组、辅助系统及场站正常运行必需消耗的电量，属于发电环节的</w:t>
      </w:r>
      <w:r>
        <w:rPr>
          <w:rFonts w:hint="eastAsia" w:ascii="Times New Roman" w:hAnsi="Times New Roman" w:eastAsia="方正仿宋_GBK" w:cs="Times New Roman"/>
          <w:b w:val="0"/>
          <w:bCs w:val="0"/>
          <w:sz w:val="30"/>
          <w:szCs w:val="30"/>
        </w:rPr>
        <w:t>自用电量</w:t>
      </w:r>
      <w:r>
        <w:rPr>
          <w:rFonts w:hint="eastAsia" w:ascii="Times New Roman" w:hAnsi="Times New Roman" w:eastAsia="方正仿宋_GBK" w:cs="Times New Roman"/>
          <w:sz w:val="30"/>
          <w:szCs w:val="30"/>
        </w:rPr>
        <w:t>，不计入上网电量</w:t>
      </w:r>
      <w:r>
        <w:rPr>
          <w:rFonts w:hint="eastAsia"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val="en-US" w:eastAsia="zh-CN"/>
        </w:rPr>
        <w:t>具体核算中，非化石能源发电项目生产耗用电量计入所属企业的物理认定量，同时按物理认定计入项目所在地。</w:t>
      </w:r>
    </w:p>
    <w:p w14:paraId="0A5569CE">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Arial" w:hAnsi="Arial" w:eastAsia="方正仿宋_GBK" w:cs="Arial"/>
          <w:sz w:val="30"/>
          <w:szCs w:val="30"/>
          <w:lang w:val="en-US" w:eastAsia="zh-CN"/>
        </w:rPr>
      </w:pPr>
    </w:p>
    <w:p w14:paraId="5B99BEC8">
      <w:pPr>
        <w:pStyle w:val="2"/>
        <w:numPr>
          <w:ilvl w:val="0"/>
          <w:numId w:val="1"/>
        </w:numPr>
        <w:bidi w:val="0"/>
        <w:rPr>
          <w:rFonts w:hint="default" w:ascii="方正黑体_GBK" w:hAnsi="方正黑体_GBK" w:eastAsia="方正黑体_GBK" w:cs="方正黑体_GBK"/>
          <w:sz w:val="30"/>
          <w:szCs w:val="30"/>
          <w:lang w:val="en-US" w:eastAsia="zh-CN"/>
        </w:rPr>
      </w:pPr>
      <w:bookmarkStart w:id="17" w:name="_Toc566947789"/>
      <w:r>
        <w:rPr>
          <w:rFonts w:hint="eastAsia" w:ascii="方正黑体_GBK" w:hAnsi="方正黑体_GBK" w:eastAsia="方正黑体_GBK" w:cs="方正黑体_GBK"/>
          <w:sz w:val="30"/>
          <w:szCs w:val="30"/>
          <w:lang w:val="en-US" w:eastAsia="zh-CN"/>
        </w:rPr>
        <w:t>省级层面通过绿证自愿转让非化石能源电力消费量有何考虑</w:t>
      </w:r>
      <w:r>
        <w:rPr>
          <w:rFonts w:hint="default" w:ascii="方正黑体_GBK" w:hAnsi="方正黑体_GBK" w:eastAsia="方正黑体_GBK" w:cs="方正黑体_GBK"/>
          <w:sz w:val="30"/>
          <w:szCs w:val="30"/>
          <w:lang w:val="en-US" w:eastAsia="zh-CN"/>
        </w:rPr>
        <w:t>？</w:t>
      </w:r>
      <w:bookmarkEnd w:id="17"/>
    </w:p>
    <w:p w14:paraId="4399A8F9">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eastAsia"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方正仿宋_GBK" w:hAnsi="方正仿宋_GBK" w:eastAsia="方正仿宋_GBK" w:cs="方正仿宋_GBK"/>
          <w:b w:val="0"/>
          <w:bCs w:val="0"/>
          <w:sz w:val="30"/>
          <w:szCs w:val="30"/>
          <w:lang w:val="en-US" w:eastAsia="zh-CN"/>
        </w:rPr>
        <w:t>各省（区、市）能源资源禀赋不同，非化石能源开发利用条件也有差异</w:t>
      </w:r>
      <w:r>
        <w:rPr>
          <w:rFonts w:hint="eastAsia" w:ascii="方正仿宋_GBK" w:hAnsi="方正仿宋_GBK" w:eastAsia="方正仿宋_GBK" w:cs="方正仿宋_GBK"/>
          <w:sz w:val="30"/>
          <w:szCs w:val="30"/>
          <w:lang w:val="en-US" w:eastAsia="zh-CN"/>
        </w:rPr>
        <w:t>。为推动发挥各地区比较优势、引导送受两端省份协同转型发展，非化石能源资源富集省份可结合本省非化石能源消费比重等情况，在《指南》明确的上限范围内自愿转让非化石能源消费量，有需要的省份可以通过购买绿证的方式购入非化石能源消费量。</w:t>
      </w:r>
    </w:p>
    <w:p w14:paraId="48EEC44C">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p>
    <w:p w14:paraId="1FF7AC89">
      <w:pPr>
        <w:pStyle w:val="2"/>
        <w:numPr>
          <w:ilvl w:val="0"/>
          <w:numId w:val="1"/>
        </w:numPr>
        <w:bidi w:val="0"/>
        <w:rPr>
          <w:rFonts w:hint="eastAsia" w:ascii="方正黑体_GBK" w:hAnsi="方正黑体_GBK" w:eastAsia="方正黑体_GBK" w:cs="方正黑体_GBK"/>
          <w:sz w:val="30"/>
          <w:szCs w:val="30"/>
          <w:lang w:val="en-US" w:eastAsia="zh-CN"/>
        </w:rPr>
      </w:pPr>
      <w:bookmarkStart w:id="18" w:name="_Toc802460740"/>
      <w:r>
        <w:rPr>
          <w:rFonts w:hint="eastAsia" w:ascii="方正黑体_GBK" w:hAnsi="方正黑体_GBK" w:eastAsia="方正黑体_GBK" w:cs="方正黑体_GBK"/>
          <w:sz w:val="30"/>
          <w:szCs w:val="30"/>
          <w:lang w:val="en-US" w:eastAsia="zh-CN"/>
        </w:rPr>
        <w:t>省间应急调度电量对应电能量属性怎么明确？</w:t>
      </w:r>
      <w:bookmarkEnd w:id="18"/>
    </w:p>
    <w:p w14:paraId="5F698647">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省间应急调度电量采用事后结算方式，能够明确电能量属性的，按照实际结算关系计入受端省；无法明确的，采用分摊认定方式开展省间分摊。</w:t>
      </w:r>
    </w:p>
    <w:p w14:paraId="2E1B88F8">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lang w:val="en-US" w:eastAsia="zh-CN"/>
        </w:rPr>
      </w:pPr>
    </w:p>
    <w:p w14:paraId="7E0200BD">
      <w:pPr>
        <w:pStyle w:val="2"/>
        <w:numPr>
          <w:ilvl w:val="0"/>
          <w:numId w:val="1"/>
        </w:numPr>
        <w:bidi w:val="0"/>
        <w:rPr>
          <w:rFonts w:hint="default" w:ascii="方正黑体_GBK" w:hAnsi="方正黑体_GBK" w:eastAsia="方正黑体_GBK" w:cs="方正黑体_GBK"/>
          <w:sz w:val="30"/>
          <w:szCs w:val="30"/>
          <w:lang w:val="en-US" w:eastAsia="zh-CN"/>
        </w:rPr>
      </w:pPr>
      <w:bookmarkStart w:id="19" w:name="_Toc56561224"/>
      <w:r>
        <w:rPr>
          <w:rFonts w:hint="default" w:ascii="方正黑体_GBK" w:hAnsi="方正黑体_GBK" w:eastAsia="方正黑体_GBK" w:cs="方正黑体_GBK"/>
          <w:sz w:val="30"/>
          <w:szCs w:val="30"/>
          <w:lang w:val="en-US" w:eastAsia="zh-CN"/>
        </w:rPr>
        <w:t>依据文件核算的非化石能源电力消费量，如何在</w:t>
      </w:r>
      <w:r>
        <w:rPr>
          <w:rFonts w:hint="eastAsia" w:ascii="方正黑体_GBK" w:hAnsi="方正黑体_GBK" w:eastAsia="方正黑体_GBK" w:cs="方正黑体_GBK"/>
          <w:sz w:val="30"/>
          <w:szCs w:val="30"/>
          <w:lang w:val="en-US" w:eastAsia="zh-CN"/>
        </w:rPr>
        <w:t>企业</w:t>
      </w:r>
      <w:r>
        <w:rPr>
          <w:rFonts w:hint="default" w:ascii="方正黑体_GBK" w:hAnsi="方正黑体_GBK" w:eastAsia="方正黑体_GBK" w:cs="方正黑体_GBK"/>
          <w:sz w:val="30"/>
          <w:szCs w:val="30"/>
          <w:lang w:val="en-US" w:eastAsia="zh-CN"/>
        </w:rPr>
        <w:t>碳排放核算中应用？</w:t>
      </w:r>
      <w:bookmarkEnd w:id="19"/>
    </w:p>
    <w:p w14:paraId="28FABA14">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企业碳排放涉及使用化石能源的直接排放和外购电力热力的间接排放。企业核算电力间接碳排放时，可以采取用电量乘以电力平均碳排放因子的方式，也可以按照《指南》区分用电量类型，非化石能源电力按零排放计，化石电力按化石能源电力碳排放因子计。具体应用时，可结合核算场景需要，合理选择核算方式。</w:t>
      </w:r>
    </w:p>
    <w:p w14:paraId="0B9ABF65">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lang w:val="en-US" w:eastAsia="zh-CN"/>
        </w:rPr>
      </w:pPr>
    </w:p>
    <w:p w14:paraId="521729DB">
      <w:pPr>
        <w:pStyle w:val="2"/>
        <w:numPr>
          <w:ilvl w:val="0"/>
          <w:numId w:val="1"/>
        </w:numPr>
        <w:bidi w:val="0"/>
        <w:rPr>
          <w:rFonts w:hint="default" w:ascii="方正黑体_GBK" w:hAnsi="方正黑体_GBK" w:eastAsia="方正黑体_GBK" w:cs="方正黑体_GBK"/>
          <w:sz w:val="30"/>
          <w:szCs w:val="30"/>
          <w:lang w:val="en-US" w:eastAsia="zh-CN"/>
        </w:rPr>
      </w:pPr>
      <w:bookmarkStart w:id="20" w:name="_Toc240607163"/>
      <w:r>
        <w:rPr>
          <w:rFonts w:hint="default" w:ascii="方正黑体_GBK" w:hAnsi="方正黑体_GBK" w:eastAsia="方正黑体_GBK" w:cs="方正黑体_GBK"/>
          <w:sz w:val="30"/>
          <w:szCs w:val="30"/>
          <w:lang w:val="en-US" w:eastAsia="zh-CN"/>
        </w:rPr>
        <w:t>文件与可再生能源消费最低比重目标</w:t>
      </w:r>
      <w:r>
        <w:rPr>
          <w:rFonts w:hint="eastAsia" w:ascii="方正黑体_GBK" w:hAnsi="方正黑体_GBK" w:eastAsia="方正黑体_GBK" w:cs="方正黑体_GBK"/>
          <w:sz w:val="30"/>
          <w:szCs w:val="30"/>
          <w:lang w:val="en-US" w:eastAsia="zh-CN"/>
        </w:rPr>
        <w:t>和</w:t>
      </w:r>
      <w:r>
        <w:rPr>
          <w:rFonts w:hint="default" w:ascii="方正黑体_GBK" w:hAnsi="方正黑体_GBK" w:eastAsia="方正黑体_GBK" w:cs="方正黑体_GBK"/>
          <w:sz w:val="30"/>
          <w:szCs w:val="30"/>
          <w:lang w:val="en-US" w:eastAsia="zh-CN"/>
        </w:rPr>
        <w:t>可再生能源电力消纳责任权重制度</w:t>
      </w:r>
      <w:r>
        <w:rPr>
          <w:rFonts w:hint="eastAsia" w:ascii="方正黑体_GBK" w:hAnsi="方正黑体_GBK" w:eastAsia="方正黑体_GBK" w:cs="方正黑体_GBK"/>
          <w:sz w:val="30"/>
          <w:szCs w:val="30"/>
          <w:lang w:val="en-US" w:eastAsia="zh-CN"/>
        </w:rPr>
        <w:t>是什么</w:t>
      </w:r>
      <w:r>
        <w:rPr>
          <w:rFonts w:hint="default" w:ascii="方正黑体_GBK" w:hAnsi="方正黑体_GBK" w:eastAsia="方正黑体_GBK" w:cs="方正黑体_GBK"/>
          <w:sz w:val="30"/>
          <w:szCs w:val="30"/>
          <w:lang w:val="en-US" w:eastAsia="zh-CN"/>
        </w:rPr>
        <w:t>关系？</w:t>
      </w:r>
      <w:bookmarkEnd w:id="20"/>
    </w:p>
    <w:p w14:paraId="37DE5912">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eastAsia"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可再生能源电力消纳责任权重制度明确各省可再生能源电力消纳责任权重，可再生能源消费最低比重目标制度明确电解铝、钢铁、多晶硅、水泥、数据中心等不同行业绿色电力消费比例。《指南》明确了非化石能源电力消费量核算方法，除可再生能源外还包括核电。为促进不同政策机制衔接，《指南》印发后，企业层面可再生能源电力消费情况，将参考《指南》开展核算；省级层面，国家能源局将统筹做好《指南》核算与各省可再生能源电力消纳责任权重指标计算结果的衔接。</w:t>
      </w:r>
    </w:p>
    <w:p w14:paraId="4BE35B0C">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eastAsia" w:ascii="Times New Roman" w:hAnsi="Times New Roman" w:eastAsia="方正仿宋_GBK" w:cs="Times New Roman"/>
          <w:b w:val="0"/>
          <w:bCs w:val="0"/>
          <w:sz w:val="30"/>
          <w:szCs w:val="30"/>
          <w:lang w:val="en-US" w:eastAsia="zh-CN"/>
        </w:rPr>
      </w:pPr>
    </w:p>
    <w:p w14:paraId="0FCB6CDE">
      <w:pPr>
        <w:pStyle w:val="2"/>
        <w:numPr>
          <w:ilvl w:val="0"/>
          <w:numId w:val="1"/>
        </w:numPr>
        <w:bidi w:val="0"/>
        <w:rPr>
          <w:rFonts w:hint="default" w:ascii="方正黑体_GBK" w:hAnsi="方正黑体_GBK" w:eastAsia="方正黑体_GBK" w:cs="方正黑体_GBK"/>
          <w:sz w:val="30"/>
          <w:szCs w:val="30"/>
          <w:lang w:val="en-US" w:eastAsia="zh-CN"/>
        </w:rPr>
      </w:pPr>
      <w:bookmarkStart w:id="21" w:name="_Toc1286757526"/>
      <w:r>
        <w:rPr>
          <w:rFonts w:hint="default" w:ascii="方正黑体_GBK" w:hAnsi="方正黑体_GBK" w:eastAsia="方正黑体_GBK" w:cs="方正黑体_GBK"/>
          <w:sz w:val="30"/>
          <w:szCs w:val="30"/>
          <w:lang w:val="en-US" w:eastAsia="zh-CN"/>
        </w:rPr>
        <w:t>非化石能源电力消费核算周期</w:t>
      </w:r>
      <w:r>
        <w:rPr>
          <w:rFonts w:hint="eastAsia" w:ascii="方正黑体_GBK" w:hAnsi="方正黑体_GBK" w:eastAsia="方正黑体_GBK" w:cs="方正黑体_GBK"/>
          <w:sz w:val="30"/>
          <w:szCs w:val="30"/>
          <w:lang w:val="en-US" w:eastAsia="zh-CN"/>
        </w:rPr>
        <w:t>为多久</w:t>
      </w:r>
      <w:r>
        <w:rPr>
          <w:rFonts w:hint="default" w:ascii="方正黑体_GBK" w:hAnsi="方正黑体_GBK" w:eastAsia="方正黑体_GBK" w:cs="方正黑体_GBK"/>
          <w:sz w:val="30"/>
          <w:szCs w:val="30"/>
          <w:lang w:val="en-US" w:eastAsia="zh-CN"/>
        </w:rPr>
        <w:t>？</w:t>
      </w:r>
      <w:bookmarkEnd w:id="21"/>
    </w:p>
    <w:p w14:paraId="46D66F9F">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leftChars="0" w:firstLine="600" w:firstLineChars="200"/>
        <w:textAlignment w:val="auto"/>
        <w:rPr>
          <w:rFonts w:hint="default" w:ascii="Times New Roman" w:hAnsi="Times New Roman" w:eastAsia="方正仿宋_GBK" w:cs="Times New Roman"/>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答：</w:t>
      </w:r>
      <w:r>
        <w:rPr>
          <w:rFonts w:hint="eastAsia" w:ascii="Times New Roman" w:hAnsi="Times New Roman" w:eastAsia="方正仿宋_GBK" w:cs="Times New Roman"/>
          <w:b w:val="0"/>
          <w:bCs w:val="0"/>
          <w:sz w:val="30"/>
          <w:szCs w:val="30"/>
          <w:lang w:val="en-US" w:eastAsia="zh-CN"/>
        </w:rPr>
        <w:t>非化石能源电力消费量主要应用于碳排放双控考核等场景。</w:t>
      </w:r>
      <w:r>
        <w:rPr>
          <w:rFonts w:hint="eastAsia" w:ascii="Times New Roman" w:hAnsi="Times New Roman" w:eastAsia="方正仿宋_GBK" w:cs="Times New Roman"/>
          <w:sz w:val="30"/>
          <w:szCs w:val="30"/>
          <w:lang w:val="en-US" w:eastAsia="zh-CN"/>
        </w:rPr>
        <w:t>“十五五”是国家碳排放统计核算体系健全完善阶段</w:t>
      </w:r>
      <w:r>
        <w:rPr>
          <w:rFonts w:hint="eastAsia" w:ascii="Times New Roman" w:hAnsi="Times New Roman" w:eastAsia="方正仿宋_GBK" w:cs="Times New Roman"/>
          <w:b w:val="0"/>
          <w:bCs w:val="0"/>
          <w:sz w:val="30"/>
          <w:szCs w:val="30"/>
          <w:lang w:val="en-US" w:eastAsia="zh-CN"/>
        </w:rPr>
        <w:t>，借鉴现行省级非化石能源电力消费统计核算、以往能耗双控考核等经验，非化石能源电力消费核算周期确定为年度。后续将结合应用场景拓展、政策调整等研究探索缩短核算周期。</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259989-CD2C-4424-A67E-F647A11255A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FE8AD421-A1A2-4F90-8A75-AFD52DDAA07B}"/>
  </w:font>
  <w:font w:name="方正黑体_GBK">
    <w:panose1 w:val="02010600010101010101"/>
    <w:charset w:val="86"/>
    <w:family w:val="auto"/>
    <w:pitch w:val="default"/>
    <w:sig w:usb0="00000001" w:usb1="080E0000" w:usb2="00000000" w:usb3="00000000" w:csb0="00040000" w:csb1="00000000"/>
    <w:embedRegular r:id="rId3" w:fontKey="{53747F76-2FEA-4BB8-9BD7-5C9F370E2800}"/>
  </w:font>
  <w:font w:name="方正楷体_GBK">
    <w:panose1 w:val="02000000000000000000"/>
    <w:charset w:val="86"/>
    <w:family w:val="script"/>
    <w:pitch w:val="default"/>
    <w:sig w:usb0="800002BF" w:usb1="38CF7CFA" w:usb2="00000016"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FD764ED3-4B6C-4D60-8BD2-A03A52285B4A}"/>
  </w:font>
  <w:font w:name="仿宋">
    <w:panose1 w:val="02010609060101010101"/>
    <w:charset w:val="86"/>
    <w:family w:val="auto"/>
    <w:pitch w:val="default"/>
    <w:sig w:usb0="800002BF" w:usb1="38CF7CFA" w:usb2="00000016" w:usb3="00000000" w:csb0="00040001" w:csb1="00000000"/>
    <w:embedRegular r:id="rId5" w:fontKey="{5C7D869A-501E-402C-B3AF-BCB6C6D797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9C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2A76B6E">
                          <w:pPr>
                            <w:pStyle w:val="3"/>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72A76B6E">
                    <w:pPr>
                      <w:pStyle w:val="3"/>
                      <w:rPr>
                        <w:rFonts w:hint="default" w:ascii="Times New Roman" w:hAnsi="Times New Roman" w:cs="Times New Roman"/>
                        <w:sz w:val="20"/>
                        <w:szCs w:val="20"/>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B6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asciiTheme="minorEastAsia" w:hAnsiTheme="minorEastAsia"/>
                              <w:sz w:val="20"/>
                              <w:szCs w:val="20"/>
                            </w:rPr>
                            <w:id w:val="29331485"/>
                            <w:docPartObj>
                              <w:docPartGallery w:val="autotext"/>
                            </w:docPartObj>
                          </w:sdtPr>
                          <w:sdtEndPr>
                            <w:rPr>
                              <w:rFonts w:asciiTheme="minorEastAsia" w:hAnsiTheme="minorEastAsia"/>
                              <w:sz w:val="20"/>
                              <w:szCs w:val="20"/>
                            </w:rPr>
                          </w:sdtEndPr>
                          <w:sdtContent>
                            <w:p w14:paraId="77CAD522">
                              <w:pPr>
                                <w:pStyle w:val="3"/>
                                <w:jc w:val="center"/>
                                <w:rPr>
                                  <w:sz w:val="20"/>
                                  <w:szCs w:val="20"/>
                                </w:rPr>
                              </w:pPr>
                              <w:r>
                                <w:rPr>
                                  <w:rFonts w:cs="Times New Roman" w:asciiTheme="minorEastAsia" w:hAnsiTheme="minorEastAsia"/>
                                  <w:sz w:val="20"/>
                                  <w:szCs w:val="20"/>
                                </w:rPr>
                                <w:t>—</w:t>
                              </w:r>
                              <w:r>
                                <w:rPr>
                                  <w:rFonts w:hint="eastAsia" w:cs="Times New Roman" w:asciiTheme="minorEastAsia" w:hAnsiTheme="minorEastAsia"/>
                                  <w:sz w:val="20"/>
                                  <w:szCs w:val="20"/>
                                </w:rPr>
                                <w:t xml:space="preserve"> </w:t>
                              </w:r>
                              <w:r>
                                <w:rPr>
                                  <w:rFonts w:cs="Times New Roman" w:asciiTheme="minorEastAsia" w:hAnsiTheme="minorEastAsia"/>
                                  <w:sz w:val="20"/>
                                  <w:szCs w:val="20"/>
                                </w:rPr>
                                <w:fldChar w:fldCharType="begin"/>
                              </w:r>
                              <w:r>
                                <w:rPr>
                                  <w:rFonts w:cs="Times New Roman" w:asciiTheme="minorEastAsia" w:hAnsiTheme="minorEastAsia"/>
                                  <w:sz w:val="20"/>
                                  <w:szCs w:val="20"/>
                                </w:rPr>
                                <w:instrText xml:space="preserve"> PAGE   \* MERGEFORMAT </w:instrText>
                              </w:r>
                              <w:r>
                                <w:rPr>
                                  <w:rFonts w:cs="Times New Roman" w:asciiTheme="minorEastAsia" w:hAnsiTheme="minorEastAsia"/>
                                  <w:sz w:val="20"/>
                                  <w:szCs w:val="20"/>
                                </w:rPr>
                                <w:fldChar w:fldCharType="separate"/>
                              </w:r>
                              <w:r>
                                <w:rPr>
                                  <w:rFonts w:cs="Times New Roman" w:asciiTheme="minorEastAsia" w:hAnsiTheme="minorEastAsia"/>
                                  <w:sz w:val="20"/>
                                  <w:szCs w:val="20"/>
                                  <w:lang w:val="zh-CN"/>
                                </w:rPr>
                                <w:t>2</w:t>
                              </w:r>
                              <w:r>
                                <w:rPr>
                                  <w:rFonts w:cs="Times New Roman" w:asciiTheme="minorEastAsia" w:hAnsiTheme="minorEastAsia"/>
                                  <w:sz w:val="20"/>
                                  <w:szCs w:val="20"/>
                                </w:rPr>
                                <w:fldChar w:fldCharType="end"/>
                              </w:r>
                              <w:r>
                                <w:rPr>
                                  <w:rFonts w:hint="eastAsia" w:cs="Times New Roman" w:asciiTheme="minorEastAsia" w:hAnsiTheme="minorEastAsia"/>
                                  <w:sz w:val="20"/>
                                  <w:szCs w:val="20"/>
                                </w:rPr>
                                <w:t xml:space="preserve"> </w:t>
                              </w:r>
                              <w:r>
                                <w:rPr>
                                  <w:rFonts w:cs="Times New Roman" w:asciiTheme="minorEastAsia" w:hAnsiTheme="minorEastAsia"/>
                                  <w:sz w:val="20"/>
                                  <w:szCs w:val="20"/>
                                </w:rPr>
                                <w:t>—</w:t>
                              </w:r>
                            </w:p>
                          </w:sdtContent>
                        </w:sdt>
                        <w:p w14:paraId="55D77402">
                          <w:pPr>
                            <w:pStyle w:val="3"/>
                            <w:rPr>
                              <w:rFonts w:hint="default" w:ascii="Times New Roman" w:hAnsi="Times New Roman" w:cs="Times New Roman"/>
                              <w:sz w:val="20"/>
                              <w:szCs w:val="2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rPr>
                        <w:rFonts w:asciiTheme="minorEastAsia" w:hAnsiTheme="minorEastAsia"/>
                        <w:sz w:val="20"/>
                        <w:szCs w:val="20"/>
                      </w:rPr>
                      <w:id w:val="29331485"/>
                      <w:docPartObj>
                        <w:docPartGallery w:val="autotext"/>
                      </w:docPartObj>
                    </w:sdtPr>
                    <w:sdtEndPr>
                      <w:rPr>
                        <w:rFonts w:asciiTheme="minorEastAsia" w:hAnsiTheme="minorEastAsia"/>
                        <w:sz w:val="20"/>
                        <w:szCs w:val="20"/>
                      </w:rPr>
                    </w:sdtEndPr>
                    <w:sdtContent>
                      <w:p w14:paraId="77CAD522">
                        <w:pPr>
                          <w:pStyle w:val="3"/>
                          <w:jc w:val="center"/>
                          <w:rPr>
                            <w:sz w:val="20"/>
                            <w:szCs w:val="20"/>
                          </w:rPr>
                        </w:pPr>
                        <w:r>
                          <w:rPr>
                            <w:rFonts w:cs="Times New Roman" w:asciiTheme="minorEastAsia" w:hAnsiTheme="minorEastAsia"/>
                            <w:sz w:val="20"/>
                            <w:szCs w:val="20"/>
                          </w:rPr>
                          <w:t>—</w:t>
                        </w:r>
                        <w:r>
                          <w:rPr>
                            <w:rFonts w:hint="eastAsia" w:cs="Times New Roman" w:asciiTheme="minorEastAsia" w:hAnsiTheme="minorEastAsia"/>
                            <w:sz w:val="20"/>
                            <w:szCs w:val="20"/>
                          </w:rPr>
                          <w:t xml:space="preserve"> </w:t>
                        </w:r>
                        <w:r>
                          <w:rPr>
                            <w:rFonts w:cs="Times New Roman" w:asciiTheme="minorEastAsia" w:hAnsiTheme="minorEastAsia"/>
                            <w:sz w:val="20"/>
                            <w:szCs w:val="20"/>
                          </w:rPr>
                          <w:fldChar w:fldCharType="begin"/>
                        </w:r>
                        <w:r>
                          <w:rPr>
                            <w:rFonts w:cs="Times New Roman" w:asciiTheme="minorEastAsia" w:hAnsiTheme="minorEastAsia"/>
                            <w:sz w:val="20"/>
                            <w:szCs w:val="20"/>
                          </w:rPr>
                          <w:instrText xml:space="preserve"> PAGE   \* MERGEFORMAT </w:instrText>
                        </w:r>
                        <w:r>
                          <w:rPr>
                            <w:rFonts w:cs="Times New Roman" w:asciiTheme="minorEastAsia" w:hAnsiTheme="minorEastAsia"/>
                            <w:sz w:val="20"/>
                            <w:szCs w:val="20"/>
                          </w:rPr>
                          <w:fldChar w:fldCharType="separate"/>
                        </w:r>
                        <w:r>
                          <w:rPr>
                            <w:rFonts w:cs="Times New Roman" w:asciiTheme="minorEastAsia" w:hAnsiTheme="minorEastAsia"/>
                            <w:sz w:val="20"/>
                            <w:szCs w:val="20"/>
                            <w:lang w:val="zh-CN"/>
                          </w:rPr>
                          <w:t>2</w:t>
                        </w:r>
                        <w:r>
                          <w:rPr>
                            <w:rFonts w:cs="Times New Roman" w:asciiTheme="minorEastAsia" w:hAnsiTheme="minorEastAsia"/>
                            <w:sz w:val="20"/>
                            <w:szCs w:val="20"/>
                          </w:rPr>
                          <w:fldChar w:fldCharType="end"/>
                        </w:r>
                        <w:r>
                          <w:rPr>
                            <w:rFonts w:hint="eastAsia" w:cs="Times New Roman" w:asciiTheme="minorEastAsia" w:hAnsiTheme="minorEastAsia"/>
                            <w:sz w:val="20"/>
                            <w:szCs w:val="20"/>
                          </w:rPr>
                          <w:t xml:space="preserve"> </w:t>
                        </w:r>
                        <w:r>
                          <w:rPr>
                            <w:rFonts w:cs="Times New Roman" w:asciiTheme="minorEastAsia" w:hAnsiTheme="minorEastAsia"/>
                            <w:sz w:val="20"/>
                            <w:szCs w:val="20"/>
                          </w:rPr>
                          <w:t>—</w:t>
                        </w:r>
                      </w:p>
                    </w:sdtContent>
                  </w:sdt>
                  <w:p w14:paraId="55D77402">
                    <w:pPr>
                      <w:pStyle w:val="3"/>
                      <w:rPr>
                        <w:rFonts w:hint="default" w:ascii="Times New Roman" w:hAnsi="Times New Roman" w:cs="Times New Roman"/>
                        <w:sz w:val="20"/>
                        <w:szCs w:val="2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00F29"/>
    <w:multiLevelType w:val="singleLevel"/>
    <w:tmpl w:val="13B00F2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34F5"/>
    <w:rsid w:val="00A94D44"/>
    <w:rsid w:val="00F3293A"/>
    <w:rsid w:val="01136B37"/>
    <w:rsid w:val="018B057D"/>
    <w:rsid w:val="01C76ACD"/>
    <w:rsid w:val="01E272A3"/>
    <w:rsid w:val="0207642D"/>
    <w:rsid w:val="026D4C1F"/>
    <w:rsid w:val="02C71C03"/>
    <w:rsid w:val="02D5509A"/>
    <w:rsid w:val="032C5FC0"/>
    <w:rsid w:val="03402A63"/>
    <w:rsid w:val="03413FA3"/>
    <w:rsid w:val="036901BA"/>
    <w:rsid w:val="040A59AF"/>
    <w:rsid w:val="04173F2A"/>
    <w:rsid w:val="041C13F0"/>
    <w:rsid w:val="042E6715"/>
    <w:rsid w:val="04476CBD"/>
    <w:rsid w:val="045D4134"/>
    <w:rsid w:val="04FB3D3B"/>
    <w:rsid w:val="052E228E"/>
    <w:rsid w:val="053978B5"/>
    <w:rsid w:val="054D1DC0"/>
    <w:rsid w:val="05765F06"/>
    <w:rsid w:val="05C71700"/>
    <w:rsid w:val="05F81AE8"/>
    <w:rsid w:val="06287762"/>
    <w:rsid w:val="077E0859"/>
    <w:rsid w:val="07D14A60"/>
    <w:rsid w:val="085914C1"/>
    <w:rsid w:val="09215687"/>
    <w:rsid w:val="097B0346"/>
    <w:rsid w:val="09882D54"/>
    <w:rsid w:val="09977856"/>
    <w:rsid w:val="09A76BE4"/>
    <w:rsid w:val="09B169AE"/>
    <w:rsid w:val="09E967C0"/>
    <w:rsid w:val="09FF2EA9"/>
    <w:rsid w:val="0A4565CD"/>
    <w:rsid w:val="0A5B1F0B"/>
    <w:rsid w:val="0A7159FD"/>
    <w:rsid w:val="0A82564E"/>
    <w:rsid w:val="0ABD7EBC"/>
    <w:rsid w:val="0ABF072C"/>
    <w:rsid w:val="0B426986"/>
    <w:rsid w:val="0B5B5331"/>
    <w:rsid w:val="0B871460"/>
    <w:rsid w:val="0C1161DE"/>
    <w:rsid w:val="0C4514AF"/>
    <w:rsid w:val="0C5B4ED4"/>
    <w:rsid w:val="0C6E60F3"/>
    <w:rsid w:val="0C9019D1"/>
    <w:rsid w:val="0CA230CA"/>
    <w:rsid w:val="0CC679CB"/>
    <w:rsid w:val="0D215B97"/>
    <w:rsid w:val="0DC64126"/>
    <w:rsid w:val="0DC907C9"/>
    <w:rsid w:val="0E1267A4"/>
    <w:rsid w:val="0E4946FF"/>
    <w:rsid w:val="0E575CF5"/>
    <w:rsid w:val="0EA35638"/>
    <w:rsid w:val="0EB2CCF4"/>
    <w:rsid w:val="0F3A3E4C"/>
    <w:rsid w:val="0F3EF13C"/>
    <w:rsid w:val="0F983985"/>
    <w:rsid w:val="0FF84DDD"/>
    <w:rsid w:val="10537FD8"/>
    <w:rsid w:val="10F73E59"/>
    <w:rsid w:val="111B2DF0"/>
    <w:rsid w:val="111E2F24"/>
    <w:rsid w:val="1121392A"/>
    <w:rsid w:val="11250330"/>
    <w:rsid w:val="11C0052E"/>
    <w:rsid w:val="12841193"/>
    <w:rsid w:val="128850CF"/>
    <w:rsid w:val="12945F88"/>
    <w:rsid w:val="129643CB"/>
    <w:rsid w:val="129A5E61"/>
    <w:rsid w:val="12E13E89"/>
    <w:rsid w:val="1345032A"/>
    <w:rsid w:val="13D303CC"/>
    <w:rsid w:val="13E61511"/>
    <w:rsid w:val="14262E9B"/>
    <w:rsid w:val="1489513E"/>
    <w:rsid w:val="14FB4921"/>
    <w:rsid w:val="1573093F"/>
    <w:rsid w:val="15EB3C13"/>
    <w:rsid w:val="176607C0"/>
    <w:rsid w:val="17C5460C"/>
    <w:rsid w:val="17D11723"/>
    <w:rsid w:val="181F726F"/>
    <w:rsid w:val="18312B2F"/>
    <w:rsid w:val="18916579"/>
    <w:rsid w:val="189D20F0"/>
    <w:rsid w:val="189F77F2"/>
    <w:rsid w:val="18D63639"/>
    <w:rsid w:val="19491AD7"/>
    <w:rsid w:val="19501B94"/>
    <w:rsid w:val="197A6999"/>
    <w:rsid w:val="197D7165"/>
    <w:rsid w:val="19991ABF"/>
    <w:rsid w:val="19FE31D0"/>
    <w:rsid w:val="1A77FC7E"/>
    <w:rsid w:val="1A7975BC"/>
    <w:rsid w:val="1AAA62E3"/>
    <w:rsid w:val="1AF577A7"/>
    <w:rsid w:val="1B37108C"/>
    <w:rsid w:val="1B550FE4"/>
    <w:rsid w:val="1BB56F3D"/>
    <w:rsid w:val="1BCA28ED"/>
    <w:rsid w:val="1CB2349F"/>
    <w:rsid w:val="1CBA634B"/>
    <w:rsid w:val="1CD96BE2"/>
    <w:rsid w:val="1CF5F21F"/>
    <w:rsid w:val="1D271F98"/>
    <w:rsid w:val="1D467181"/>
    <w:rsid w:val="1D4A6D0B"/>
    <w:rsid w:val="1D5368AC"/>
    <w:rsid w:val="1D5A4FA4"/>
    <w:rsid w:val="1D671CC9"/>
    <w:rsid w:val="1D870000"/>
    <w:rsid w:val="1DB033C2"/>
    <w:rsid w:val="1DD4393A"/>
    <w:rsid w:val="1DE9353C"/>
    <w:rsid w:val="1DFE3C88"/>
    <w:rsid w:val="1E202341"/>
    <w:rsid w:val="1E233701"/>
    <w:rsid w:val="1E270330"/>
    <w:rsid w:val="1E512F4B"/>
    <w:rsid w:val="1E896CD1"/>
    <w:rsid w:val="1EE2283A"/>
    <w:rsid w:val="1F5F1E04"/>
    <w:rsid w:val="1F7268A6"/>
    <w:rsid w:val="1F7F7604"/>
    <w:rsid w:val="1FAB580C"/>
    <w:rsid w:val="1FB37310"/>
    <w:rsid w:val="1FB6954B"/>
    <w:rsid w:val="1FC52D11"/>
    <w:rsid w:val="1FE93F66"/>
    <w:rsid w:val="1FEB7469"/>
    <w:rsid w:val="1FF323B1"/>
    <w:rsid w:val="1FF3380D"/>
    <w:rsid w:val="1FFEC83D"/>
    <w:rsid w:val="20053897"/>
    <w:rsid w:val="203363FA"/>
    <w:rsid w:val="20875FD9"/>
    <w:rsid w:val="2090127C"/>
    <w:rsid w:val="20A55238"/>
    <w:rsid w:val="20D34084"/>
    <w:rsid w:val="211AB3CB"/>
    <w:rsid w:val="211B7B5B"/>
    <w:rsid w:val="216B6B53"/>
    <w:rsid w:val="218A3DDF"/>
    <w:rsid w:val="219D1DDA"/>
    <w:rsid w:val="21B84562"/>
    <w:rsid w:val="21E40A9C"/>
    <w:rsid w:val="221009B8"/>
    <w:rsid w:val="22171B38"/>
    <w:rsid w:val="2264467A"/>
    <w:rsid w:val="23531B69"/>
    <w:rsid w:val="2370007A"/>
    <w:rsid w:val="2377323E"/>
    <w:rsid w:val="23B6792D"/>
    <w:rsid w:val="23C93F42"/>
    <w:rsid w:val="244C451B"/>
    <w:rsid w:val="2487307B"/>
    <w:rsid w:val="24895A35"/>
    <w:rsid w:val="249F01D0"/>
    <w:rsid w:val="24A5262B"/>
    <w:rsid w:val="24C40996"/>
    <w:rsid w:val="24C50961"/>
    <w:rsid w:val="24E84399"/>
    <w:rsid w:val="25777843"/>
    <w:rsid w:val="25DA4C26"/>
    <w:rsid w:val="26474D5E"/>
    <w:rsid w:val="2768712F"/>
    <w:rsid w:val="27746F46"/>
    <w:rsid w:val="27B76736"/>
    <w:rsid w:val="27FE4BF3"/>
    <w:rsid w:val="2877415C"/>
    <w:rsid w:val="289C64DA"/>
    <w:rsid w:val="29185711"/>
    <w:rsid w:val="29637A76"/>
    <w:rsid w:val="296C6A09"/>
    <w:rsid w:val="29CC3C22"/>
    <w:rsid w:val="29DA0C88"/>
    <w:rsid w:val="29FF4BFE"/>
    <w:rsid w:val="2A144016"/>
    <w:rsid w:val="2A257690"/>
    <w:rsid w:val="2A4E5DB9"/>
    <w:rsid w:val="2A5C4493"/>
    <w:rsid w:val="2A695F39"/>
    <w:rsid w:val="2AA1438E"/>
    <w:rsid w:val="2AAB580F"/>
    <w:rsid w:val="2AC148FD"/>
    <w:rsid w:val="2B356536"/>
    <w:rsid w:val="2B3D30FD"/>
    <w:rsid w:val="2B5B432E"/>
    <w:rsid w:val="2B6B3799"/>
    <w:rsid w:val="2B700A50"/>
    <w:rsid w:val="2B7F106A"/>
    <w:rsid w:val="2BA03C5B"/>
    <w:rsid w:val="2BB3F9ED"/>
    <w:rsid w:val="2BC12DD8"/>
    <w:rsid w:val="2BE13E72"/>
    <w:rsid w:val="2BF5452C"/>
    <w:rsid w:val="2C021643"/>
    <w:rsid w:val="2C26057E"/>
    <w:rsid w:val="2C5A7EC6"/>
    <w:rsid w:val="2C7D7D17"/>
    <w:rsid w:val="2C874CC5"/>
    <w:rsid w:val="2CD63BB6"/>
    <w:rsid w:val="2CE920BD"/>
    <w:rsid w:val="2D1542AF"/>
    <w:rsid w:val="2D5F18A7"/>
    <w:rsid w:val="2DBA042A"/>
    <w:rsid w:val="2DD7B059"/>
    <w:rsid w:val="2DE0754F"/>
    <w:rsid w:val="2E0C46C1"/>
    <w:rsid w:val="2E3F0BEE"/>
    <w:rsid w:val="2E661861"/>
    <w:rsid w:val="2EAB5D1F"/>
    <w:rsid w:val="2EAD328E"/>
    <w:rsid w:val="2EFFAC6D"/>
    <w:rsid w:val="2F153317"/>
    <w:rsid w:val="2F9766EA"/>
    <w:rsid w:val="2FB173FE"/>
    <w:rsid w:val="2FE72C98"/>
    <w:rsid w:val="2FEBE594"/>
    <w:rsid w:val="2FFD24AC"/>
    <w:rsid w:val="301A71FA"/>
    <w:rsid w:val="3168491E"/>
    <w:rsid w:val="32083AC9"/>
    <w:rsid w:val="32146967"/>
    <w:rsid w:val="32A974A8"/>
    <w:rsid w:val="32D228C1"/>
    <w:rsid w:val="33270BD5"/>
    <w:rsid w:val="337B2E24"/>
    <w:rsid w:val="34601E7E"/>
    <w:rsid w:val="346105B9"/>
    <w:rsid w:val="34BE4995"/>
    <w:rsid w:val="356C07C4"/>
    <w:rsid w:val="35B70430"/>
    <w:rsid w:val="35EFB241"/>
    <w:rsid w:val="35FD7BBE"/>
    <w:rsid w:val="35FDFC66"/>
    <w:rsid w:val="36073FF3"/>
    <w:rsid w:val="36606A82"/>
    <w:rsid w:val="36B86308"/>
    <w:rsid w:val="36BB584C"/>
    <w:rsid w:val="36DE5C94"/>
    <w:rsid w:val="37664448"/>
    <w:rsid w:val="3789032B"/>
    <w:rsid w:val="37BA1D5F"/>
    <w:rsid w:val="37D68243"/>
    <w:rsid w:val="37E570B5"/>
    <w:rsid w:val="37E63226"/>
    <w:rsid w:val="38712827"/>
    <w:rsid w:val="39015095"/>
    <w:rsid w:val="392F1CE1"/>
    <w:rsid w:val="393328E5"/>
    <w:rsid w:val="393E76FC"/>
    <w:rsid w:val="3952389C"/>
    <w:rsid w:val="39D114EA"/>
    <w:rsid w:val="3A9B5D21"/>
    <w:rsid w:val="3AAF1387"/>
    <w:rsid w:val="3ABF1985"/>
    <w:rsid w:val="3ADA6DC5"/>
    <w:rsid w:val="3B2F4B94"/>
    <w:rsid w:val="3B4F86FA"/>
    <w:rsid w:val="3B545DE3"/>
    <w:rsid w:val="3BB23479"/>
    <w:rsid w:val="3BF50735"/>
    <w:rsid w:val="3BFF6558"/>
    <w:rsid w:val="3C7E6059"/>
    <w:rsid w:val="3C8F1FD4"/>
    <w:rsid w:val="3CBC1EB2"/>
    <w:rsid w:val="3CE95E38"/>
    <w:rsid w:val="3D0F56F2"/>
    <w:rsid w:val="3D1D1E4F"/>
    <w:rsid w:val="3D2C2DB7"/>
    <w:rsid w:val="3D382282"/>
    <w:rsid w:val="3D89650A"/>
    <w:rsid w:val="3D9B3683"/>
    <w:rsid w:val="3DCE9B06"/>
    <w:rsid w:val="3DFF8D77"/>
    <w:rsid w:val="3DFFD401"/>
    <w:rsid w:val="3E2E4312"/>
    <w:rsid w:val="3E382664"/>
    <w:rsid w:val="3E6F3A04"/>
    <w:rsid w:val="3E87BAD1"/>
    <w:rsid w:val="3EBFF1F2"/>
    <w:rsid w:val="3EEB2146"/>
    <w:rsid w:val="3EFEA6B7"/>
    <w:rsid w:val="3F006868"/>
    <w:rsid w:val="3F0C1CC2"/>
    <w:rsid w:val="3F13E7B4"/>
    <w:rsid w:val="3F225876"/>
    <w:rsid w:val="3F3A2580"/>
    <w:rsid w:val="3F4FD28B"/>
    <w:rsid w:val="3F530E51"/>
    <w:rsid w:val="3F7EED43"/>
    <w:rsid w:val="3F7F6C2B"/>
    <w:rsid w:val="3F986A5E"/>
    <w:rsid w:val="3F9916CE"/>
    <w:rsid w:val="3F9B9A3D"/>
    <w:rsid w:val="3FA54DF8"/>
    <w:rsid w:val="3FADA692"/>
    <w:rsid w:val="3FBABDD3"/>
    <w:rsid w:val="3FBE0A44"/>
    <w:rsid w:val="3FCD4576"/>
    <w:rsid w:val="3FDF724C"/>
    <w:rsid w:val="3FDF7B02"/>
    <w:rsid w:val="3FF5FB02"/>
    <w:rsid w:val="3FFA1C1A"/>
    <w:rsid w:val="3FFF115A"/>
    <w:rsid w:val="3FFF9844"/>
    <w:rsid w:val="403279F4"/>
    <w:rsid w:val="403E38F8"/>
    <w:rsid w:val="4091157D"/>
    <w:rsid w:val="40EA1C0C"/>
    <w:rsid w:val="416D68F1"/>
    <w:rsid w:val="416E0685"/>
    <w:rsid w:val="41C02E5A"/>
    <w:rsid w:val="42872737"/>
    <w:rsid w:val="429D0359"/>
    <w:rsid w:val="42BA7C89"/>
    <w:rsid w:val="430A46D4"/>
    <w:rsid w:val="4334695C"/>
    <w:rsid w:val="43750E3B"/>
    <w:rsid w:val="43EC3FA6"/>
    <w:rsid w:val="440C332D"/>
    <w:rsid w:val="443B2EA2"/>
    <w:rsid w:val="444F0341"/>
    <w:rsid w:val="4483404B"/>
    <w:rsid w:val="45A560D2"/>
    <w:rsid w:val="45F66F5A"/>
    <w:rsid w:val="46446ED5"/>
    <w:rsid w:val="464E3068"/>
    <w:rsid w:val="46905CD0"/>
    <w:rsid w:val="469065AA"/>
    <w:rsid w:val="46DB28CC"/>
    <w:rsid w:val="46E22257"/>
    <w:rsid w:val="47221592"/>
    <w:rsid w:val="479123FB"/>
    <w:rsid w:val="47E71B04"/>
    <w:rsid w:val="47EE2710"/>
    <w:rsid w:val="47FB39E1"/>
    <w:rsid w:val="47FB77FB"/>
    <w:rsid w:val="47FC7572"/>
    <w:rsid w:val="47FD269E"/>
    <w:rsid w:val="48230F16"/>
    <w:rsid w:val="487C0CAC"/>
    <w:rsid w:val="48D32FA5"/>
    <w:rsid w:val="48E36524"/>
    <w:rsid w:val="49046A59"/>
    <w:rsid w:val="491C4100"/>
    <w:rsid w:val="494E5BD4"/>
    <w:rsid w:val="496F4CDD"/>
    <w:rsid w:val="49776D96"/>
    <w:rsid w:val="49B06B1E"/>
    <w:rsid w:val="49B96903"/>
    <w:rsid w:val="49DA4201"/>
    <w:rsid w:val="49ED33C9"/>
    <w:rsid w:val="4A1FD5BD"/>
    <w:rsid w:val="4A8936D9"/>
    <w:rsid w:val="4AB467A0"/>
    <w:rsid w:val="4ADD1B62"/>
    <w:rsid w:val="4B0645B8"/>
    <w:rsid w:val="4B7B0767"/>
    <w:rsid w:val="4B8D60C9"/>
    <w:rsid w:val="4B9E23F9"/>
    <w:rsid w:val="4BA9095D"/>
    <w:rsid w:val="4BA9721D"/>
    <w:rsid w:val="4BBC556E"/>
    <w:rsid w:val="4D0314E7"/>
    <w:rsid w:val="4D112DB7"/>
    <w:rsid w:val="4D652C2F"/>
    <w:rsid w:val="4D993849"/>
    <w:rsid w:val="4DCF1117"/>
    <w:rsid w:val="4DE465D7"/>
    <w:rsid w:val="4DF420F5"/>
    <w:rsid w:val="4E3605DF"/>
    <w:rsid w:val="4E9F8D46"/>
    <w:rsid w:val="4EA404FD"/>
    <w:rsid w:val="4EB71886"/>
    <w:rsid w:val="4EC432CD"/>
    <w:rsid w:val="4F8D6993"/>
    <w:rsid w:val="4FA904C1"/>
    <w:rsid w:val="4FF3E38B"/>
    <w:rsid w:val="4FFA40B3"/>
    <w:rsid w:val="4FFE295E"/>
    <w:rsid w:val="5005031C"/>
    <w:rsid w:val="50DA0833"/>
    <w:rsid w:val="514711E7"/>
    <w:rsid w:val="517B61BE"/>
    <w:rsid w:val="51B2246F"/>
    <w:rsid w:val="51B3445F"/>
    <w:rsid w:val="51E46FDF"/>
    <w:rsid w:val="51E84720"/>
    <w:rsid w:val="529214B7"/>
    <w:rsid w:val="52B626C2"/>
    <w:rsid w:val="52D33E80"/>
    <w:rsid w:val="5312590B"/>
    <w:rsid w:val="532C2301"/>
    <w:rsid w:val="536E65EE"/>
    <w:rsid w:val="53951D31"/>
    <w:rsid w:val="53EC273F"/>
    <w:rsid w:val="542767AC"/>
    <w:rsid w:val="5462506D"/>
    <w:rsid w:val="54874B3C"/>
    <w:rsid w:val="54AD5D08"/>
    <w:rsid w:val="54D4569F"/>
    <w:rsid w:val="55261BCE"/>
    <w:rsid w:val="552D350A"/>
    <w:rsid w:val="556B42F2"/>
    <w:rsid w:val="55A0308A"/>
    <w:rsid w:val="55F1630D"/>
    <w:rsid w:val="55FD7939"/>
    <w:rsid w:val="55FF71E2"/>
    <w:rsid w:val="5651762B"/>
    <w:rsid w:val="565E46E5"/>
    <w:rsid w:val="565F6940"/>
    <w:rsid w:val="56DD83BB"/>
    <w:rsid w:val="578A642E"/>
    <w:rsid w:val="57B317F1"/>
    <w:rsid w:val="58186F97"/>
    <w:rsid w:val="58214023"/>
    <w:rsid w:val="58701BA4"/>
    <w:rsid w:val="58705427"/>
    <w:rsid w:val="58F4040A"/>
    <w:rsid w:val="58FC733E"/>
    <w:rsid w:val="595953A4"/>
    <w:rsid w:val="59BFF609"/>
    <w:rsid w:val="59E79526"/>
    <w:rsid w:val="5A1347D3"/>
    <w:rsid w:val="5A635857"/>
    <w:rsid w:val="5A6545DD"/>
    <w:rsid w:val="5AE33F73"/>
    <w:rsid w:val="5AEE2DC9"/>
    <w:rsid w:val="5B630C7D"/>
    <w:rsid w:val="5BD7C928"/>
    <w:rsid w:val="5BF562C7"/>
    <w:rsid w:val="5BF9B9AF"/>
    <w:rsid w:val="5C0B0191"/>
    <w:rsid w:val="5C1372D7"/>
    <w:rsid w:val="5C60789B"/>
    <w:rsid w:val="5C777AB5"/>
    <w:rsid w:val="5CD765E0"/>
    <w:rsid w:val="5CE72FF7"/>
    <w:rsid w:val="5CFA2018"/>
    <w:rsid w:val="5CFD0383"/>
    <w:rsid w:val="5D3CF353"/>
    <w:rsid w:val="5D6EC2A1"/>
    <w:rsid w:val="5D820C77"/>
    <w:rsid w:val="5D867934"/>
    <w:rsid w:val="5DB3723E"/>
    <w:rsid w:val="5DDD937D"/>
    <w:rsid w:val="5E7C3AF5"/>
    <w:rsid w:val="5E867220"/>
    <w:rsid w:val="5EAF521C"/>
    <w:rsid w:val="5ECD7B07"/>
    <w:rsid w:val="5EDE56B0"/>
    <w:rsid w:val="5EFDD992"/>
    <w:rsid w:val="5F0039F2"/>
    <w:rsid w:val="5F1D0A18"/>
    <w:rsid w:val="5F2F7983"/>
    <w:rsid w:val="5F4E8494"/>
    <w:rsid w:val="5F7A9EAD"/>
    <w:rsid w:val="5FA650F9"/>
    <w:rsid w:val="5FEE32EF"/>
    <w:rsid w:val="5FFA4B83"/>
    <w:rsid w:val="60AB49A7"/>
    <w:rsid w:val="60B665BB"/>
    <w:rsid w:val="60BDCE16"/>
    <w:rsid w:val="60C70A28"/>
    <w:rsid w:val="610A7D79"/>
    <w:rsid w:val="616F1B14"/>
    <w:rsid w:val="61B6536B"/>
    <w:rsid w:val="62261E65"/>
    <w:rsid w:val="6266129C"/>
    <w:rsid w:val="62D67210"/>
    <w:rsid w:val="62F600FA"/>
    <w:rsid w:val="6314609A"/>
    <w:rsid w:val="63243993"/>
    <w:rsid w:val="63FE3A99"/>
    <w:rsid w:val="64087C2C"/>
    <w:rsid w:val="645E4DB7"/>
    <w:rsid w:val="64AC4EB7"/>
    <w:rsid w:val="64E9279D"/>
    <w:rsid w:val="64EC06E2"/>
    <w:rsid w:val="64FD260A"/>
    <w:rsid w:val="656E19D9"/>
    <w:rsid w:val="6579E45B"/>
    <w:rsid w:val="65D773ED"/>
    <w:rsid w:val="65F63BD4"/>
    <w:rsid w:val="660C5D78"/>
    <w:rsid w:val="66AC3703"/>
    <w:rsid w:val="66B71194"/>
    <w:rsid w:val="66BBDC17"/>
    <w:rsid w:val="66CF5DB3"/>
    <w:rsid w:val="66E04E56"/>
    <w:rsid w:val="66EE416C"/>
    <w:rsid w:val="67726944"/>
    <w:rsid w:val="6777C496"/>
    <w:rsid w:val="679A305C"/>
    <w:rsid w:val="67C97922"/>
    <w:rsid w:val="67CB02D7"/>
    <w:rsid w:val="67FF94E1"/>
    <w:rsid w:val="68245CEB"/>
    <w:rsid w:val="68457FA1"/>
    <w:rsid w:val="685A794B"/>
    <w:rsid w:val="68947D20"/>
    <w:rsid w:val="68A96D2F"/>
    <w:rsid w:val="68AB4F58"/>
    <w:rsid w:val="68B40255"/>
    <w:rsid w:val="68D6620B"/>
    <w:rsid w:val="692F4C6A"/>
    <w:rsid w:val="696E388A"/>
    <w:rsid w:val="69F6B42A"/>
    <w:rsid w:val="6A3938D4"/>
    <w:rsid w:val="6A79405E"/>
    <w:rsid w:val="6AB96FCE"/>
    <w:rsid w:val="6ABF73B0"/>
    <w:rsid w:val="6B3A3476"/>
    <w:rsid w:val="6B903E85"/>
    <w:rsid w:val="6C3F65A7"/>
    <w:rsid w:val="6C823B28"/>
    <w:rsid w:val="6C8D4BD3"/>
    <w:rsid w:val="6C9E790E"/>
    <w:rsid w:val="6CA344A2"/>
    <w:rsid w:val="6CAB840E"/>
    <w:rsid w:val="6CCF8427"/>
    <w:rsid w:val="6D120AFE"/>
    <w:rsid w:val="6D326E35"/>
    <w:rsid w:val="6DAF7BE5"/>
    <w:rsid w:val="6DB7CB87"/>
    <w:rsid w:val="6DDBAF35"/>
    <w:rsid w:val="6DE7F569"/>
    <w:rsid w:val="6E3CD06B"/>
    <w:rsid w:val="6E7BF588"/>
    <w:rsid w:val="6EDF1C64"/>
    <w:rsid w:val="6EE72357"/>
    <w:rsid w:val="6EEC7C96"/>
    <w:rsid w:val="6EEE0926"/>
    <w:rsid w:val="6F5F8A34"/>
    <w:rsid w:val="6F94661F"/>
    <w:rsid w:val="6FA974BD"/>
    <w:rsid w:val="6FAB67CB"/>
    <w:rsid w:val="6FB74DA2"/>
    <w:rsid w:val="6FE261FF"/>
    <w:rsid w:val="6FEA26CB"/>
    <w:rsid w:val="6FF38D3E"/>
    <w:rsid w:val="6FFF1E14"/>
    <w:rsid w:val="704241B9"/>
    <w:rsid w:val="7075370E"/>
    <w:rsid w:val="70B40C75"/>
    <w:rsid w:val="70D127A3"/>
    <w:rsid w:val="71405412"/>
    <w:rsid w:val="7165689A"/>
    <w:rsid w:val="718F5195"/>
    <w:rsid w:val="71FB6A5B"/>
    <w:rsid w:val="720B1E43"/>
    <w:rsid w:val="72A7E27F"/>
    <w:rsid w:val="72D94F32"/>
    <w:rsid w:val="72EF420C"/>
    <w:rsid w:val="72F6764B"/>
    <w:rsid w:val="72FAEF88"/>
    <w:rsid w:val="73233E20"/>
    <w:rsid w:val="73447064"/>
    <w:rsid w:val="735D72B5"/>
    <w:rsid w:val="735F549E"/>
    <w:rsid w:val="73993FFB"/>
    <w:rsid w:val="73DDA225"/>
    <w:rsid w:val="73EBD397"/>
    <w:rsid w:val="73F71180"/>
    <w:rsid w:val="745F222B"/>
    <w:rsid w:val="74686B07"/>
    <w:rsid w:val="754664F5"/>
    <w:rsid w:val="754A0D7C"/>
    <w:rsid w:val="75875ED2"/>
    <w:rsid w:val="75AB1519"/>
    <w:rsid w:val="75D912DA"/>
    <w:rsid w:val="75FE357F"/>
    <w:rsid w:val="76050319"/>
    <w:rsid w:val="761C5254"/>
    <w:rsid w:val="76B404FF"/>
    <w:rsid w:val="76BE532A"/>
    <w:rsid w:val="76C92DEE"/>
    <w:rsid w:val="76F66F13"/>
    <w:rsid w:val="773A43A6"/>
    <w:rsid w:val="77677711"/>
    <w:rsid w:val="77775762"/>
    <w:rsid w:val="777E3D2A"/>
    <w:rsid w:val="777F413F"/>
    <w:rsid w:val="77A2AB9B"/>
    <w:rsid w:val="77C73DA7"/>
    <w:rsid w:val="77D95FBC"/>
    <w:rsid w:val="77E52B10"/>
    <w:rsid w:val="77E68949"/>
    <w:rsid w:val="77E731E2"/>
    <w:rsid w:val="77EDF06D"/>
    <w:rsid w:val="77F3CBEF"/>
    <w:rsid w:val="77FAF46D"/>
    <w:rsid w:val="786B3C28"/>
    <w:rsid w:val="788D2DA6"/>
    <w:rsid w:val="7893ECA0"/>
    <w:rsid w:val="7954591E"/>
    <w:rsid w:val="797E23E2"/>
    <w:rsid w:val="79DBB5A5"/>
    <w:rsid w:val="79F15DDC"/>
    <w:rsid w:val="79FB7C9B"/>
    <w:rsid w:val="79FF812F"/>
    <w:rsid w:val="7A133702"/>
    <w:rsid w:val="7A867391"/>
    <w:rsid w:val="7AEA70B6"/>
    <w:rsid w:val="7B412DCC"/>
    <w:rsid w:val="7B7F04AF"/>
    <w:rsid w:val="7B7F09C5"/>
    <w:rsid w:val="7B913DFF"/>
    <w:rsid w:val="7BB6365C"/>
    <w:rsid w:val="7BCF309E"/>
    <w:rsid w:val="7BCF59CE"/>
    <w:rsid w:val="7BDE5EF3"/>
    <w:rsid w:val="7BE44D4F"/>
    <w:rsid w:val="7BE468A7"/>
    <w:rsid w:val="7BFF738A"/>
    <w:rsid w:val="7BFFE674"/>
    <w:rsid w:val="7C358111"/>
    <w:rsid w:val="7C5F249A"/>
    <w:rsid w:val="7CBE6849"/>
    <w:rsid w:val="7CDF143B"/>
    <w:rsid w:val="7CFF1CB0"/>
    <w:rsid w:val="7CFF338B"/>
    <w:rsid w:val="7D2221D8"/>
    <w:rsid w:val="7D4F83A8"/>
    <w:rsid w:val="7D5F5E80"/>
    <w:rsid w:val="7D759E58"/>
    <w:rsid w:val="7D7F2779"/>
    <w:rsid w:val="7D7FF733"/>
    <w:rsid w:val="7DAA0297"/>
    <w:rsid w:val="7DB7C6F9"/>
    <w:rsid w:val="7DBDB807"/>
    <w:rsid w:val="7DBE2613"/>
    <w:rsid w:val="7DBFAEB7"/>
    <w:rsid w:val="7DDF68F4"/>
    <w:rsid w:val="7DDFDDFD"/>
    <w:rsid w:val="7DED0B71"/>
    <w:rsid w:val="7DF2A47C"/>
    <w:rsid w:val="7DF5CDB2"/>
    <w:rsid w:val="7DF99AF1"/>
    <w:rsid w:val="7DFC511D"/>
    <w:rsid w:val="7DFD6103"/>
    <w:rsid w:val="7DFD6CAB"/>
    <w:rsid w:val="7DFDC1C5"/>
    <w:rsid w:val="7DFF148C"/>
    <w:rsid w:val="7E114147"/>
    <w:rsid w:val="7E20467A"/>
    <w:rsid w:val="7E3BB2DD"/>
    <w:rsid w:val="7E5010E0"/>
    <w:rsid w:val="7E55DDE0"/>
    <w:rsid w:val="7E5D7D7C"/>
    <w:rsid w:val="7E7BDA6B"/>
    <w:rsid w:val="7E7DDCE2"/>
    <w:rsid w:val="7E7F9306"/>
    <w:rsid w:val="7E9C1704"/>
    <w:rsid w:val="7EAEAD5B"/>
    <w:rsid w:val="7ED734C7"/>
    <w:rsid w:val="7EDBC87A"/>
    <w:rsid w:val="7EDD7DA1"/>
    <w:rsid w:val="7EDF7357"/>
    <w:rsid w:val="7EE9893E"/>
    <w:rsid w:val="7EEF38D6"/>
    <w:rsid w:val="7EF30C7F"/>
    <w:rsid w:val="7EFD0DC6"/>
    <w:rsid w:val="7F1F9B18"/>
    <w:rsid w:val="7F58347D"/>
    <w:rsid w:val="7F7CC87B"/>
    <w:rsid w:val="7F7E7198"/>
    <w:rsid w:val="7F7F1B9A"/>
    <w:rsid w:val="7F7FF792"/>
    <w:rsid w:val="7F874A6D"/>
    <w:rsid w:val="7F9CA356"/>
    <w:rsid w:val="7F9CF846"/>
    <w:rsid w:val="7FAEFA06"/>
    <w:rsid w:val="7FBD2333"/>
    <w:rsid w:val="7FBFA067"/>
    <w:rsid w:val="7FBFAB5B"/>
    <w:rsid w:val="7FD74082"/>
    <w:rsid w:val="7FD7FF54"/>
    <w:rsid w:val="7FDBD239"/>
    <w:rsid w:val="7FDC4441"/>
    <w:rsid w:val="7FDFD236"/>
    <w:rsid w:val="7FE3B59C"/>
    <w:rsid w:val="7FE871F8"/>
    <w:rsid w:val="7FEA012A"/>
    <w:rsid w:val="7FEDD5B2"/>
    <w:rsid w:val="7FF730A9"/>
    <w:rsid w:val="7FF759FE"/>
    <w:rsid w:val="7FF9692D"/>
    <w:rsid w:val="7FFAA487"/>
    <w:rsid w:val="7FFB1398"/>
    <w:rsid w:val="7FFB5582"/>
    <w:rsid w:val="7FFB6990"/>
    <w:rsid w:val="7FFD7B0C"/>
    <w:rsid w:val="7FFD93FB"/>
    <w:rsid w:val="7FFEFF65"/>
    <w:rsid w:val="7FFF0C15"/>
    <w:rsid w:val="7FFF3FDF"/>
    <w:rsid w:val="7FFF5FEA"/>
    <w:rsid w:val="89CE9A48"/>
    <w:rsid w:val="8B6E20C7"/>
    <w:rsid w:val="8F7FD43B"/>
    <w:rsid w:val="92797F2D"/>
    <w:rsid w:val="97FF0A62"/>
    <w:rsid w:val="9ED98D9C"/>
    <w:rsid w:val="9EF74895"/>
    <w:rsid w:val="9F7FCD06"/>
    <w:rsid w:val="9F964C49"/>
    <w:rsid w:val="9FDE15A1"/>
    <w:rsid w:val="A4BF7A0A"/>
    <w:rsid w:val="A7FDFCFE"/>
    <w:rsid w:val="A7FE0D6C"/>
    <w:rsid w:val="A7FE192D"/>
    <w:rsid w:val="A8D6AAED"/>
    <w:rsid w:val="ADED1E23"/>
    <w:rsid w:val="AF77E890"/>
    <w:rsid w:val="AF7A03B5"/>
    <w:rsid w:val="AF9F3C04"/>
    <w:rsid w:val="AFCF4345"/>
    <w:rsid w:val="AFFB3431"/>
    <w:rsid w:val="AFFC7DE5"/>
    <w:rsid w:val="B3EF9C16"/>
    <w:rsid w:val="B5FFCC51"/>
    <w:rsid w:val="B67B33CE"/>
    <w:rsid w:val="B7576B8B"/>
    <w:rsid w:val="B79F1822"/>
    <w:rsid w:val="B7AFEAF2"/>
    <w:rsid w:val="B7FF47BC"/>
    <w:rsid w:val="B963F9AB"/>
    <w:rsid w:val="B9BF8EC2"/>
    <w:rsid w:val="BB98C4C6"/>
    <w:rsid w:val="BBA60C97"/>
    <w:rsid w:val="BCEBBDBD"/>
    <w:rsid w:val="BCEDA189"/>
    <w:rsid w:val="BECF81E8"/>
    <w:rsid w:val="BFBCB35B"/>
    <w:rsid w:val="BFDD6FEC"/>
    <w:rsid w:val="BFED43EB"/>
    <w:rsid w:val="BFED526F"/>
    <w:rsid w:val="BFEDAFB8"/>
    <w:rsid w:val="BFEF0C43"/>
    <w:rsid w:val="BFF365CC"/>
    <w:rsid w:val="BFFE66C7"/>
    <w:rsid w:val="BFFF1FA8"/>
    <w:rsid w:val="BFFF43B9"/>
    <w:rsid w:val="C29B026D"/>
    <w:rsid w:val="C35B38C4"/>
    <w:rsid w:val="C6FFBBF2"/>
    <w:rsid w:val="CAAF9233"/>
    <w:rsid w:val="CB9D8A6F"/>
    <w:rsid w:val="CBFEAC55"/>
    <w:rsid w:val="CDAF22B9"/>
    <w:rsid w:val="CDB34C60"/>
    <w:rsid w:val="CF721667"/>
    <w:rsid w:val="CF767502"/>
    <w:rsid w:val="CF93EF88"/>
    <w:rsid w:val="CFA73A50"/>
    <w:rsid w:val="CFDF7030"/>
    <w:rsid w:val="D1FFD08D"/>
    <w:rsid w:val="D2A9E096"/>
    <w:rsid w:val="D37E7AE9"/>
    <w:rsid w:val="D3BDDEF2"/>
    <w:rsid w:val="D3C9F92D"/>
    <w:rsid w:val="D3FBF117"/>
    <w:rsid w:val="D5BF9B30"/>
    <w:rsid w:val="D6DFDB4D"/>
    <w:rsid w:val="D77ECA2D"/>
    <w:rsid w:val="D79E3EA5"/>
    <w:rsid w:val="D7DE2F54"/>
    <w:rsid w:val="D7ED9B3E"/>
    <w:rsid w:val="D9F09109"/>
    <w:rsid w:val="DABE3998"/>
    <w:rsid w:val="DABFF9DF"/>
    <w:rsid w:val="DAED9CBC"/>
    <w:rsid w:val="DAFF0A99"/>
    <w:rsid w:val="DBB718DC"/>
    <w:rsid w:val="DCAFF1D2"/>
    <w:rsid w:val="DDA779E1"/>
    <w:rsid w:val="DDCE87E6"/>
    <w:rsid w:val="DDEFFB4A"/>
    <w:rsid w:val="DDF66A51"/>
    <w:rsid w:val="DEDF6B1B"/>
    <w:rsid w:val="DEE7CFC0"/>
    <w:rsid w:val="DEFFDDA1"/>
    <w:rsid w:val="DF07D2FF"/>
    <w:rsid w:val="DFFE0C32"/>
    <w:rsid w:val="E4BDFCAE"/>
    <w:rsid w:val="E5BEEB8C"/>
    <w:rsid w:val="E6C44D18"/>
    <w:rsid w:val="E6FF8524"/>
    <w:rsid w:val="E7930331"/>
    <w:rsid w:val="E7BDD22F"/>
    <w:rsid w:val="E7EF7D04"/>
    <w:rsid w:val="E7FBC19A"/>
    <w:rsid w:val="E7FE22C4"/>
    <w:rsid w:val="E8FF8DC8"/>
    <w:rsid w:val="EA7DF494"/>
    <w:rsid w:val="EB7FEEBE"/>
    <w:rsid w:val="EBD7B6A2"/>
    <w:rsid w:val="EBDD461F"/>
    <w:rsid w:val="EBF59FCA"/>
    <w:rsid w:val="EBF77F6C"/>
    <w:rsid w:val="ECDDC930"/>
    <w:rsid w:val="ED6BEC5A"/>
    <w:rsid w:val="EDE76B3A"/>
    <w:rsid w:val="EDFE37F2"/>
    <w:rsid w:val="EDFF12E4"/>
    <w:rsid w:val="EE705E8B"/>
    <w:rsid w:val="EE7F1FD9"/>
    <w:rsid w:val="EF7FF305"/>
    <w:rsid w:val="EF86F19F"/>
    <w:rsid w:val="EFB79B46"/>
    <w:rsid w:val="EFBB3F7A"/>
    <w:rsid w:val="EFBF4D1E"/>
    <w:rsid w:val="EFBFD18D"/>
    <w:rsid w:val="EFDDD3DA"/>
    <w:rsid w:val="EFDF4D03"/>
    <w:rsid w:val="EFE7C226"/>
    <w:rsid w:val="EFE7E4AE"/>
    <w:rsid w:val="EFEE1CAC"/>
    <w:rsid w:val="EFEE208C"/>
    <w:rsid w:val="EFF66B51"/>
    <w:rsid w:val="EFFBC9E9"/>
    <w:rsid w:val="EFFF0458"/>
    <w:rsid w:val="EFFF46A0"/>
    <w:rsid w:val="EFFF5084"/>
    <w:rsid w:val="EFFFAFA1"/>
    <w:rsid w:val="F0C3C186"/>
    <w:rsid w:val="F3BFC35E"/>
    <w:rsid w:val="F3FD99AE"/>
    <w:rsid w:val="F3FF271F"/>
    <w:rsid w:val="F4BFC85F"/>
    <w:rsid w:val="F57D5AE7"/>
    <w:rsid w:val="F57F9885"/>
    <w:rsid w:val="F5BEF239"/>
    <w:rsid w:val="F5C76D74"/>
    <w:rsid w:val="F63E99CF"/>
    <w:rsid w:val="F67E8A5C"/>
    <w:rsid w:val="F67F36C5"/>
    <w:rsid w:val="F6BD6C2B"/>
    <w:rsid w:val="F6BF30FD"/>
    <w:rsid w:val="F6DE0B28"/>
    <w:rsid w:val="F6FD5594"/>
    <w:rsid w:val="F6FFE9BC"/>
    <w:rsid w:val="F779ACC3"/>
    <w:rsid w:val="F7A3C12E"/>
    <w:rsid w:val="F7BA73B5"/>
    <w:rsid w:val="F7DFF980"/>
    <w:rsid w:val="F85A9C2A"/>
    <w:rsid w:val="F87FA6F3"/>
    <w:rsid w:val="F8F47999"/>
    <w:rsid w:val="F95E40BE"/>
    <w:rsid w:val="F97773E1"/>
    <w:rsid w:val="F9DB8E93"/>
    <w:rsid w:val="F9F3D659"/>
    <w:rsid w:val="FA77699C"/>
    <w:rsid w:val="FADB09AB"/>
    <w:rsid w:val="FAFC5222"/>
    <w:rsid w:val="FAFDACEF"/>
    <w:rsid w:val="FB1E4499"/>
    <w:rsid w:val="FB7FFD59"/>
    <w:rsid w:val="FB9B4325"/>
    <w:rsid w:val="FBAF57D4"/>
    <w:rsid w:val="FBBEA5AF"/>
    <w:rsid w:val="FBD6B995"/>
    <w:rsid w:val="FBEF0651"/>
    <w:rsid w:val="FBFDEA94"/>
    <w:rsid w:val="FBFE7F4A"/>
    <w:rsid w:val="FBFFE5EA"/>
    <w:rsid w:val="FC69D821"/>
    <w:rsid w:val="FC7F2122"/>
    <w:rsid w:val="FCBDC64C"/>
    <w:rsid w:val="FD7F31FA"/>
    <w:rsid w:val="FDCB7DA3"/>
    <w:rsid w:val="FDCFFF1B"/>
    <w:rsid w:val="FDDF6AED"/>
    <w:rsid w:val="FDDF8250"/>
    <w:rsid w:val="FDE3D357"/>
    <w:rsid w:val="FDE62409"/>
    <w:rsid w:val="FDF0E597"/>
    <w:rsid w:val="FDFE5499"/>
    <w:rsid w:val="FE148DAE"/>
    <w:rsid w:val="FE46FF61"/>
    <w:rsid w:val="FE65E399"/>
    <w:rsid w:val="FECAA8BE"/>
    <w:rsid w:val="FEFDADF5"/>
    <w:rsid w:val="FF57FEF9"/>
    <w:rsid w:val="FF771C96"/>
    <w:rsid w:val="FF77CED1"/>
    <w:rsid w:val="FF7DB192"/>
    <w:rsid w:val="FF7F70FE"/>
    <w:rsid w:val="FF7FC8ED"/>
    <w:rsid w:val="FF9FE470"/>
    <w:rsid w:val="FFA79C93"/>
    <w:rsid w:val="FFB83CAD"/>
    <w:rsid w:val="FFBDCCA8"/>
    <w:rsid w:val="FFE9D844"/>
    <w:rsid w:val="FFEDBAFB"/>
    <w:rsid w:val="FFEFAEE0"/>
    <w:rsid w:val="FFF55939"/>
    <w:rsid w:val="FFF9B8F7"/>
    <w:rsid w:val="FFFB50AB"/>
    <w:rsid w:val="FFFBD25A"/>
    <w:rsid w:val="FFFD850B"/>
    <w:rsid w:val="FFFF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val="0"/>
      <w:keepLines w:val="0"/>
      <w:spacing w:line="588" w:lineRule="exact"/>
      <w:ind w:firstLine="198" w:firstLineChars="200"/>
      <w:outlineLvl w:val="0"/>
    </w:pPr>
    <w:rPr>
      <w:rFonts w:ascii="黑体" w:hAnsi="黑体" w:eastAsia="黑体" w:cs="宋体"/>
      <w:bCs/>
      <w:kern w:val="0"/>
      <w:sz w:val="30"/>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99"/>
    <w:pPr>
      <w:spacing w:before="100" w:beforeAutospacing="1" w:after="100" w:afterAutospacing="1" w:line="240" w:lineRule="auto"/>
      <w:jc w:val="left"/>
    </w:pPr>
    <w:rPr>
      <w:rFonts w:ascii="??" w:hAnsi="??" w:cs="宋体"/>
      <w:szCs w:val="24"/>
    </w:rPr>
  </w:style>
  <w:style w:type="character" w:styleId="9">
    <w:name w:val="Strong"/>
    <w:basedOn w:val="8"/>
    <w:qFormat/>
    <w:uiPriority w:val="0"/>
    <w:rPr>
      <w:b/>
    </w:rPr>
  </w:style>
  <w:style w:type="paragraph" w:customStyle="1" w:styleId="10">
    <w:name w:val="列出段落3"/>
    <w:basedOn w:val="1"/>
    <w:qFormat/>
    <w:uiPriority w:val="0"/>
    <w:pPr>
      <w:widowControl/>
      <w:spacing w:before="120" w:after="120" w:line="360" w:lineRule="auto"/>
      <w:ind w:left="720"/>
    </w:pPr>
    <w:rPr>
      <w:rFonts w:ascii="Calibri" w:hAnsi="Calibri" w:eastAsia="宋体" w:cs="Calibri"/>
      <w:kern w:val="0"/>
      <w:sz w:val="24"/>
      <w:szCs w:val="24"/>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6319</Words>
  <Characters>6355</Characters>
  <Lines>0</Lines>
  <Paragraphs>0</Paragraphs>
  <TotalTime>45</TotalTime>
  <ScaleCrop>false</ScaleCrop>
  <LinksUpToDate>false</LinksUpToDate>
  <CharactersWithSpaces>6435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2026-01-19T16:58:00Z</dcterms:created>
  <dc:creator>Administrator</dc:creator>
  <cp:lastModifiedBy>卡摩</cp:lastModifiedBy>
  <cp:lastPrinted>2026-05-16T14:10:00Z</cp:lastPrinted>
  <dcterms:modified xsi:type="dcterms:W3CDTF">2026-06-01T07:46:40Z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1069B585BB6B4F978706BCA3AE2B6071_13</vt:lpwstr>
  </property>
  <property fmtid="{D5CDD505-2E9C-101B-9397-08002B2CF9AE}" pid="4" name="KSOTemplateDocerSaveRecord">
    <vt:lpwstr>eyJoZGlkIjoiNGUxNmZkNjdjZTdhNDg3OWM0NWYwMDhhMzBmZmVjYTEiLCJ1c2VySWQiOiI3Mjk1MDMxODQifQ==</vt:lpwstr>
  </property>
</Properties>
</file>