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5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afterLines="0" w:line="400" w:lineRule="exact"/>
        <w:ind w:left="0" w:leftChars="0"/>
        <w:jc w:val="center"/>
        <w:textAlignment w:val="auto"/>
        <w:rPr>
          <w:rFonts w:hint="eastAsia" w:ascii="方正小标宋_GBK" w:hAnsi="方正小标宋_GBK" w:eastAsia="方正小标宋_GBK" w:cs="方正小标宋_GBK"/>
          <w:sz w:val="44"/>
          <w:szCs w:val="52"/>
          <w:lang w:val="en-US" w:eastAsia="zh-CN"/>
        </w:rPr>
      </w:pP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CESI小标宋-GB2312" w:hAnsi="CESI小标宋-GB2312" w:eastAsia="CESI小标宋-GB2312" w:cs="CESI小标宋-GB2312"/>
          <w:b w:val="0"/>
          <w:bCs w:val="0"/>
          <w:sz w:val="44"/>
          <w:szCs w:val="52"/>
          <w:lang w:val="en-US" w:eastAsia="zh-CN"/>
        </w:rPr>
      </w:pPr>
      <w:bookmarkStart w:id="0" w:name="_GoBack"/>
      <w:r>
        <w:rPr>
          <w:rFonts w:hint="eastAsia" w:ascii="CESI小标宋-GB2312" w:hAnsi="CESI小标宋-GB2312" w:eastAsia="CESI小标宋-GB2312" w:cs="CESI小标宋-GB2312"/>
          <w:b w:val="0"/>
          <w:bCs w:val="0"/>
          <w:sz w:val="44"/>
          <w:szCs w:val="52"/>
          <w:lang w:val="en-US" w:eastAsia="zh-CN"/>
        </w:rPr>
        <w:t>海南省202</w:t>
      </w:r>
      <w:r>
        <w:rPr>
          <w:rFonts w:hint="eastAsia" w:ascii="CESI小标宋-GB2312" w:hAnsi="CESI小标宋-GB2312" w:eastAsia="CESI小标宋-GB2312" w:cs="CESI小标宋-GB2312"/>
          <w:b w:val="0"/>
          <w:bCs w:val="0"/>
          <w:sz w:val="44"/>
          <w:szCs w:val="52"/>
          <w:lang w:val="en" w:eastAsia="zh-CN"/>
        </w:rPr>
        <w:t>6</w:t>
      </w:r>
      <w:r>
        <w:rPr>
          <w:rFonts w:hint="eastAsia" w:ascii="CESI小标宋-GB2312" w:hAnsi="CESI小标宋-GB2312" w:eastAsia="CESI小标宋-GB2312" w:cs="CESI小标宋-GB2312"/>
          <w:b w:val="0"/>
          <w:bCs w:val="0"/>
          <w:sz w:val="44"/>
          <w:szCs w:val="52"/>
          <w:lang w:val="en-US" w:eastAsia="zh-CN"/>
        </w:rPr>
        <w:t>年第一季度分布式光伏</w:t>
      </w:r>
    </w:p>
    <w:p>
      <w:pPr>
        <w:keepNext w:val="0"/>
        <w:keepLines w:val="0"/>
        <w:pageBreakBefore w:val="0"/>
        <w:widowControl w:val="0"/>
        <w:kinsoku/>
        <w:wordWrap/>
        <w:overflowPunct/>
        <w:topLinePunct w:val="0"/>
        <w:autoSpaceDE/>
        <w:autoSpaceDN/>
        <w:bidi w:val="0"/>
        <w:adjustRightInd/>
        <w:snapToGrid/>
        <w:spacing w:afterLines="0" w:line="500" w:lineRule="exact"/>
        <w:ind w:left="0" w:leftChars="0"/>
        <w:jc w:val="center"/>
        <w:textAlignment w:val="auto"/>
        <w:rPr>
          <w:rFonts w:hint="eastAsia" w:ascii="CESI小标宋-GB2312" w:hAnsi="CESI小标宋-GB2312" w:eastAsia="CESI小标宋-GB2312" w:cs="CESI小标宋-GB2312"/>
          <w:b w:val="0"/>
          <w:bCs w:val="0"/>
          <w:sz w:val="44"/>
          <w:szCs w:val="52"/>
          <w:lang w:val="en-US" w:eastAsia="zh-CN"/>
        </w:rPr>
      </w:pPr>
      <w:r>
        <w:rPr>
          <w:rFonts w:hint="eastAsia" w:ascii="CESI小标宋-GB2312" w:hAnsi="CESI小标宋-GB2312" w:eastAsia="CESI小标宋-GB2312" w:cs="CESI小标宋-GB2312"/>
          <w:b w:val="0"/>
          <w:bCs w:val="0"/>
          <w:sz w:val="44"/>
          <w:szCs w:val="52"/>
          <w:lang w:val="en-US" w:eastAsia="zh-CN"/>
        </w:rPr>
        <w:t>配电网可开放容量表</w:t>
      </w:r>
    </w:p>
    <w:bookmarkEnd w:id="0"/>
    <w:tbl>
      <w:tblPr>
        <w:tblStyle w:val="11"/>
        <w:tblW w:w="820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0"/>
        <w:gridCol w:w="1115"/>
        <w:gridCol w:w="1208"/>
        <w:gridCol w:w="1226"/>
        <w:gridCol w:w="1152"/>
        <w:gridCol w:w="1171"/>
        <w:gridCol w:w="14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5" w:hRule="atLeast"/>
        </w:trPr>
        <w:tc>
          <w:tcPr>
            <w:tcW w:w="920" w:type="dxa"/>
            <w:tcBorders>
              <w:top w:val="single" w:color="000000" w:sz="8" w:space="0"/>
              <w:left w:val="single" w:color="000000" w:sz="8" w:space="0"/>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15"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所属省份</w:t>
            </w:r>
          </w:p>
        </w:tc>
        <w:tc>
          <w:tcPr>
            <w:tcW w:w="1208"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所属地市</w:t>
            </w:r>
          </w:p>
        </w:tc>
        <w:tc>
          <w:tcPr>
            <w:tcW w:w="1226"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所属区县</w:t>
            </w:r>
          </w:p>
        </w:tc>
        <w:tc>
          <w:tcPr>
            <w:tcW w:w="1152"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所属乡镇</w:t>
            </w:r>
          </w:p>
        </w:tc>
        <w:tc>
          <w:tcPr>
            <w:tcW w:w="1171"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可开放容量（万千瓦）</w:t>
            </w:r>
          </w:p>
        </w:tc>
        <w:tc>
          <w:tcPr>
            <w:tcW w:w="1408" w:type="dxa"/>
            <w:tcBorders>
              <w:top w:val="single" w:color="000000" w:sz="8" w:space="0"/>
              <w:left w:val="nil"/>
              <w:bottom w:val="nil"/>
              <w:right w:val="single" w:color="000000" w:sz="8" w:space="0"/>
            </w:tcBorders>
            <w:shd w:val="clear" w:color="auto" w:fill="A5A5A5"/>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乡镇接入预警等级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single" w:color="000000" w:sz="8" w:space="0"/>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115"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秀英街道</w:t>
            </w:r>
          </w:p>
        </w:tc>
        <w:tc>
          <w:tcPr>
            <w:tcW w:w="1171" w:type="dxa"/>
            <w:tcBorders>
              <w:top w:val="single" w:color="000000" w:sz="8" w:space="0"/>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408" w:type="dxa"/>
            <w:tcBorders>
              <w:top w:val="single" w:color="000000" w:sz="8" w:space="0"/>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海秀街道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长流镇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西秀镇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海秀镇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秀英区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中山街道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滨海街道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金贸街道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大同街道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海垦街道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金宇街道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城西镇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龙桥镇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遵谭镇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龙华区</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国兴街道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府城街道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0.7</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滨江街道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凤翔街道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龙塘镇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云龙镇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三门坡镇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甲子镇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琼山区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旧州镇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海府街道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蓝天街道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博爱街道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海甸街道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人民路街道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白龙街道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和平南街道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新埠街道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灵山镇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演丰镇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海口市</w:t>
            </w:r>
          </w:p>
        </w:tc>
        <w:tc>
          <w:tcPr>
            <w:tcW w:w="122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美兰区</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大致坡镇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海棠区</w:t>
            </w:r>
          </w:p>
        </w:tc>
        <w:tc>
          <w:tcPr>
            <w:tcW w:w="115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吉阳区</w:t>
            </w:r>
          </w:p>
        </w:tc>
        <w:tc>
          <w:tcPr>
            <w:tcW w:w="115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天涯区</w:t>
            </w:r>
          </w:p>
        </w:tc>
        <w:tc>
          <w:tcPr>
            <w:tcW w:w="115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三亚市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崖州区</w:t>
            </w:r>
          </w:p>
        </w:tc>
        <w:tc>
          <w:tcPr>
            <w:tcW w:w="1152" w:type="dxa"/>
            <w:tcBorders>
              <w:top w:val="nil"/>
              <w:left w:val="nil"/>
              <w:bottom w:val="single" w:color="000000" w:sz="8" w:space="0"/>
              <w:right w:val="single" w:color="000000" w:sz="8" w:space="0"/>
            </w:tcBorders>
            <w:shd w:val="clear" w:color="auto" w:fill="auto"/>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那大镇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和庆镇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大成镇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雅星镇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兰洋镇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光村镇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木棠镇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峨蔓镇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王五镇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白马井镇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中和镇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排浦镇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东成镇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新州镇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儋州市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三都街道</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嘉积镇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石壁镇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0.9</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博鳌镇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阳江镇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潭门镇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塔洋镇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大路镇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琼海市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bottom"/>
          </w:tcPr>
          <w:p>
            <w:pPr>
              <w:keepNext w:val="0"/>
              <w:keepLines w:val="0"/>
              <w:widowControl/>
              <w:suppressLineNumbers w:val="0"/>
              <w:jc w:val="center"/>
              <w:textAlignment w:val="bottom"/>
              <w:rPr>
                <w:rFonts w:hint="default" w:ascii="宋体" w:hAnsi="宋体" w:eastAsia="宋体" w:cs="宋体"/>
                <w:i w:val="0"/>
                <w:iCs w:val="0"/>
                <w:color w:val="000000"/>
                <w:sz w:val="22"/>
                <w:szCs w:val="22"/>
                <w:u w:val="none"/>
                <w:lang w:val="en-US"/>
              </w:rPr>
            </w:pPr>
            <w:r>
              <w:rPr>
                <w:rFonts w:hint="eastAsia" w:ascii="宋体" w:hAnsi="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重兴镇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蓬莱镇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会文镇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东路镇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潭牛镇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东阁镇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文教镇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东郊镇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龙楼镇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昌洒镇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翁田镇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冯坡镇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锦山镇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铺前镇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文昌市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金江镇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瑞溪镇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永发镇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加乐镇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文儒镇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任兴镇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福山镇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桥头镇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澄迈县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万城镇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龙滚镇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和乐镇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后安镇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大茂镇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东澳镇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礼纪镇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长丰镇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山根镇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北大镇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南桥镇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万宁市</w:t>
            </w:r>
          </w:p>
        </w:tc>
        <w:tc>
          <w:tcPr>
            <w:tcW w:w="1152" w:type="dxa"/>
            <w:tcBorders>
              <w:top w:val="nil"/>
              <w:left w:val="nil"/>
              <w:bottom w:val="single" w:color="000000" w:sz="8" w:space="0"/>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三更罗镇</w:t>
            </w:r>
          </w:p>
        </w:tc>
        <w:tc>
          <w:tcPr>
            <w:tcW w:w="1171"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石碌镇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叉河镇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十月田镇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乌烈镇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昌化镇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海尾镇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昌江县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王下乡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八所镇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板桥镇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三家镇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四更镇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新龙镇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天安乡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东方市</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江边乡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抱由镇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万冲镇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志仲镇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千家镇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九所镇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利国镇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黄流镇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佛罗镇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尖峰镇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乐东县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莺歌海镇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椰林镇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三才镇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英州镇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隆广镇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文罗镇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本号镇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新村镇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提蒙乡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陵水县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群英乡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波莲镇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东英镇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博厚镇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皇桐镇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多文镇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和舍镇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南宝镇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新盈镇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0.6</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调楼镇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临高县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加来镇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0.5</w:t>
            </w:r>
          </w:p>
        </w:tc>
        <w:tc>
          <w:tcPr>
            <w:tcW w:w="1408" w:type="dxa"/>
            <w:tcBorders>
              <w:top w:val="nil"/>
              <w:left w:val="nil"/>
              <w:bottom w:val="single" w:color="000000" w:sz="8" w:space="0"/>
              <w:right w:val="single" w:color="000000" w:sz="8" w:space="0"/>
            </w:tcBorders>
            <w:shd w:val="clear" w:color="auto" w:fill="00B050"/>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新竹镇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龙湖镇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黄竹镇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雷鸣镇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龙门镇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岭口镇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翰林镇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定安县</w:t>
            </w:r>
          </w:p>
        </w:tc>
        <w:tc>
          <w:tcPr>
            <w:tcW w:w="1152"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富文镇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枫木镇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乌坡镇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南吕镇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南坤镇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坡心镇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屯昌县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西昌镇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营根镇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湾岭镇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黎母山镇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和平镇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长征镇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红毛镇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中平镇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吊罗山乡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上安乡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琼中县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什运乡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保城镇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0.8</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什玲镇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加茂镇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响水镇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新政镇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三道镇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0.4</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六弓乡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南林乡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保亭县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毛感乡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牙叉镇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七坊镇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邦溪镇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打安镇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细水乡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元门乡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南开乡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阜龙乡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213</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青松乡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214</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金波乡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215</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白沙县</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荣邦乡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0.1</w:t>
            </w:r>
          </w:p>
        </w:tc>
        <w:tc>
          <w:tcPr>
            <w:tcW w:w="1408" w:type="dxa"/>
            <w:tcBorders>
              <w:top w:val="nil"/>
              <w:left w:val="nil"/>
              <w:bottom w:val="single" w:color="000000" w:sz="8" w:space="0"/>
              <w:right w:val="single" w:color="000000" w:sz="8" w:space="0"/>
            </w:tcBorders>
            <w:shd w:val="clear" w:color="auto" w:fill="FFFF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通什镇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w:t>
            </w:r>
          </w:p>
        </w:tc>
        <w:tc>
          <w:tcPr>
            <w:tcW w:w="1408" w:type="dxa"/>
            <w:tcBorders>
              <w:top w:val="nil"/>
              <w:left w:val="nil"/>
              <w:bottom w:val="single" w:color="000000" w:sz="8" w:space="0"/>
              <w:right w:val="single" w:color="000000" w:sz="8" w:space="0"/>
            </w:tcBorders>
            <w:shd w:val="clear" w:color="auto" w:fill="00B050"/>
            <w:noWrap/>
            <w:vAlign w:val="bottom"/>
          </w:tcPr>
          <w:p>
            <w:pPr>
              <w:keepNext w:val="0"/>
              <w:keepLines w:val="0"/>
              <w:widowControl/>
              <w:suppressLineNumbers w:val="0"/>
              <w:jc w:val="center"/>
              <w:textAlignment w:val="bottom"/>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良好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217</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南圣镇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0.2</w:t>
            </w:r>
          </w:p>
        </w:tc>
        <w:tc>
          <w:tcPr>
            <w:tcW w:w="1408" w:type="dxa"/>
            <w:tcBorders>
              <w:top w:val="nil"/>
              <w:left w:val="nil"/>
              <w:bottom w:val="single" w:color="000000" w:sz="8" w:space="0"/>
              <w:right w:val="single" w:color="000000" w:sz="8" w:space="0"/>
            </w:tcBorders>
            <w:shd w:val="clear" w:color="auto" w:fill="FFFF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218</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219</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番阳镇</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220</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畅好乡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221</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毛道乡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920" w:type="dxa"/>
            <w:tcBorders>
              <w:top w:val="nil"/>
              <w:left w:val="single" w:color="000000" w:sz="8" w:space="0"/>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222</w:t>
            </w:r>
          </w:p>
        </w:tc>
        <w:tc>
          <w:tcPr>
            <w:tcW w:w="1115"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海南省</w:t>
            </w:r>
          </w:p>
        </w:tc>
        <w:tc>
          <w:tcPr>
            <w:tcW w:w="1208"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226"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五指山市</w:t>
            </w:r>
          </w:p>
        </w:tc>
        <w:tc>
          <w:tcPr>
            <w:tcW w:w="11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水满乡</w:t>
            </w:r>
          </w:p>
        </w:tc>
        <w:tc>
          <w:tcPr>
            <w:tcW w:w="1171" w:type="dxa"/>
            <w:tcBorders>
              <w:top w:val="nil"/>
              <w:left w:val="nil"/>
              <w:bottom w:val="single" w:color="000000" w:sz="8" w:space="0"/>
              <w:right w:val="single" w:color="000000" w:sz="8"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w:t>
            </w:r>
          </w:p>
        </w:tc>
        <w:tc>
          <w:tcPr>
            <w:tcW w:w="1408" w:type="dxa"/>
            <w:tcBorders>
              <w:top w:val="nil"/>
              <w:left w:val="nil"/>
              <w:bottom w:val="single" w:color="000000" w:sz="8" w:space="0"/>
              <w:right w:val="single" w:color="000000" w:sz="8" w:space="0"/>
            </w:tcBorders>
            <w:shd w:val="clear" w:color="auto" w:fill="FF0000"/>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受限</w:t>
            </w:r>
          </w:p>
        </w:tc>
      </w:tr>
    </w:tbl>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60" w:hanging="960" w:hangingChars="400"/>
        <w:textAlignment w:val="auto"/>
        <w:rPr>
          <w:rFonts w:hint="default" w:ascii="仿宋_GB2312" w:hAnsi="仿宋_GB2312" w:eastAsia="仿宋_GB2312" w:cs="仿宋_GB2312"/>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备注：1.此次公布的数据为海南电网202</w:t>
      </w:r>
      <w:r>
        <w:rPr>
          <w:rFonts w:hint="default" w:ascii="仿宋_GB2312" w:hAnsi="仿宋_GB2312" w:eastAsia="仿宋_GB2312" w:cs="仿宋_GB2312"/>
          <w:color w:val="auto"/>
          <w:kern w:val="0"/>
          <w:sz w:val="24"/>
          <w:szCs w:val="24"/>
          <w:highlight w:val="none"/>
          <w:u w:val="none"/>
          <w:lang w:val="en" w:eastAsia="zh-CN" w:bidi="ar"/>
        </w:rPr>
        <w:t>6</w:t>
      </w:r>
      <w:r>
        <w:rPr>
          <w:rFonts w:hint="eastAsia" w:ascii="仿宋_GB2312" w:hAnsi="仿宋_GB2312" w:eastAsia="仿宋_GB2312" w:cs="仿宋_GB2312"/>
          <w:color w:val="auto"/>
          <w:kern w:val="0"/>
          <w:sz w:val="24"/>
          <w:szCs w:val="24"/>
          <w:highlight w:val="none"/>
          <w:u w:val="none"/>
          <w:lang w:val="en-US" w:eastAsia="zh-CN" w:bidi="ar"/>
        </w:rPr>
        <w:t>年第一季度配电网可开放容量，项目能否接入电网以电网企业正式回复意见为准。</w:t>
      </w:r>
    </w:p>
    <w:p>
      <w:pPr>
        <w:keepNext w:val="0"/>
        <w:keepLines w:val="0"/>
        <w:pageBreakBefore w:val="0"/>
        <w:widowControl w:val="0"/>
        <w:kinsoku/>
        <w:wordWrap/>
        <w:overflowPunct/>
        <w:topLinePunct w:val="0"/>
        <w:autoSpaceDE/>
        <w:autoSpaceDN/>
        <w:bidi w:val="0"/>
        <w:adjustRightInd/>
        <w:snapToGrid/>
        <w:spacing w:before="0" w:beforeLines="0" w:afterAutospacing="0" w:line="320" w:lineRule="exact"/>
        <w:ind w:left="958" w:leftChars="342" w:hanging="240" w:hangingChars="100"/>
        <w:textAlignment w:val="auto"/>
        <w:rPr>
          <w:rFonts w:hint="eastAsia" w:ascii="仿宋_GB2312" w:hAnsi="仿宋_GB2312" w:eastAsia="仿宋_GB2312" w:cs="仿宋_GB2312"/>
          <w:b w:val="0"/>
          <w:bCs w:val="0"/>
          <w:color w:val="auto"/>
          <w:kern w:val="0"/>
          <w:sz w:val="24"/>
          <w:szCs w:val="24"/>
          <w:highlight w:val="none"/>
          <w:u w:val="none"/>
          <w:lang w:val="en-US" w:eastAsia="zh-CN" w:bidi="ar"/>
        </w:rPr>
      </w:pPr>
      <w:r>
        <w:rPr>
          <w:rFonts w:hint="eastAsia" w:ascii="仿宋_GB2312" w:hAnsi="仿宋_GB2312" w:eastAsia="仿宋_GB2312" w:cs="仿宋_GB2312"/>
          <w:color w:val="auto"/>
          <w:kern w:val="0"/>
          <w:sz w:val="24"/>
          <w:szCs w:val="24"/>
          <w:highlight w:val="none"/>
          <w:u w:val="none"/>
          <w:lang w:val="en-US" w:eastAsia="zh-CN" w:bidi="ar"/>
        </w:rPr>
        <w:t>2.数据单位统一为</w:t>
      </w:r>
      <w:r>
        <w:rPr>
          <w:rFonts w:hint="eastAsia" w:ascii="仿宋_GB2312" w:hAnsi="仿宋_GB2312" w:eastAsia="仿宋_GB2312" w:cs="仿宋_GB2312"/>
          <w:b w:val="0"/>
          <w:bCs w:val="0"/>
          <w:color w:val="auto"/>
          <w:kern w:val="0"/>
          <w:sz w:val="24"/>
          <w:szCs w:val="24"/>
          <w:highlight w:val="none"/>
          <w:u w:val="none"/>
          <w:lang w:val="en-US" w:eastAsia="zh-CN" w:bidi="ar"/>
        </w:rPr>
        <w:t>万千瓦，并保留1个小数点，部分数据因四舍五入在尾数上略有差异，并非计算错误，以公示数值为准。</w:t>
      </w:r>
    </w:p>
    <w:p>
      <w:pPr>
        <w:keepNext w:val="0"/>
        <w:keepLines w:val="0"/>
        <w:pageBreakBefore w:val="0"/>
        <w:widowControl w:val="0"/>
        <w:kinsoku/>
        <w:wordWrap/>
        <w:overflowPunct/>
        <w:topLinePunct w:val="0"/>
        <w:autoSpaceDE/>
        <w:autoSpaceDN/>
        <w:bidi w:val="0"/>
        <w:adjustRightInd/>
        <w:snapToGrid/>
        <w:spacing w:beforeLines="0" w:beforeAutospacing="0" w:line="320" w:lineRule="exact"/>
        <w:ind w:left="958" w:leftChars="342" w:hanging="240" w:hangingChars="100"/>
        <w:textAlignment w:val="auto"/>
        <w:rPr>
          <w:rFonts w:hint="default" w:eastAsia="宋体"/>
          <w:b w:val="0"/>
          <w:bCs w:val="0"/>
          <w:sz w:val="24"/>
          <w:szCs w:val="24"/>
          <w:lang w:val="en-US" w:eastAsia="zh-CN"/>
        </w:rPr>
      </w:pPr>
      <w:r>
        <w:rPr>
          <w:rFonts w:hint="eastAsia" w:ascii="仿宋_GB2312" w:hAnsi="仿宋_GB2312" w:eastAsia="仿宋_GB2312" w:cs="仿宋_GB2312"/>
          <w:b w:val="0"/>
          <w:bCs w:val="0"/>
          <w:color w:val="auto"/>
          <w:kern w:val="0"/>
          <w:sz w:val="24"/>
          <w:szCs w:val="24"/>
          <w:highlight w:val="none"/>
          <w:u w:val="none"/>
          <w:lang w:val="en-US" w:eastAsia="zh-CN" w:bidi="ar"/>
        </w:rPr>
        <w:t>3.乡镇接入预警等级根据《国家能源局综合司关于印发开展分布式光伏接入电网承载力及提升措施评估试点工作的通知》(国能综通新能(2023)74号)划分。</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方正小标宋_GBK">
    <w:panose1 w:val="02000000000000000000"/>
    <w:charset w:val="86"/>
    <w:family w:val="auto"/>
    <w:pitch w:val="default"/>
    <w:sig w:usb0="00000001" w:usb1="08000000" w:usb2="00000000" w:usb3="00000000" w:csb0="00040000" w:csb1="00000000"/>
  </w:font>
  <w:font w:name="Tunga">
    <w:altName w:val="Noto Sans"/>
    <w:panose1 w:val="020B0502040204020203"/>
    <w:charset w:val="00"/>
    <w:family w:val="swiss"/>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微软雅黑">
    <w:panose1 w:val="020B0503020204020204"/>
    <w:charset w:val="86"/>
    <w:family w:val="auto"/>
    <w:pitch w:val="default"/>
    <w:sig w:usb0="80000287" w:usb1="2ACF3C50" w:usb2="00000016" w:usb3="00000000" w:csb0="0004001F" w:csb1="00000000"/>
  </w:font>
  <w:font w:name="CESI小标宋-GB2312">
    <w:panose1 w:val="02000500000000000000"/>
    <w:charset w:val="86"/>
    <w:family w:val="auto"/>
    <w:pitch w:val="default"/>
    <w:sig w:usb0="800002AF" w:usb1="084F6CF8" w:usb2="00000010" w:usb3="00000000" w:csb0="0004000F" w:csb1="00000000"/>
  </w:font>
  <w:font w:name="DejaVu Sans">
    <w:panose1 w:val="020B0603030804020204"/>
    <w:charset w:val="00"/>
    <w:family w:val="auto"/>
    <w:pitch w:val="default"/>
    <w:sig w:usb0="E7006EFF" w:usb1="D200FDFF" w:usb2="0A246029" w:usb3="0400200C" w:csb0="600001FF" w:csb1="DFFF0000"/>
  </w:font>
  <w:font w:name="Noto Sans">
    <w:panose1 w:val="020B0502040504020204"/>
    <w:charset w:val="00"/>
    <w:family w:val="auto"/>
    <w:pitch w:val="default"/>
    <w:sig w:usb0="E00002FF" w:usb1="4000201F" w:usb2="08000029" w:usb3="001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rPr>
                              <w:rStyle w:val="14"/>
                              <w:rFonts w:hint="eastAsia" w:ascii="宋体"/>
                              <w:sz w:val="28"/>
                            </w:rPr>
                          </w:pP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9"/>
                      <w:rPr>
                        <w:rStyle w:val="14"/>
                        <w:rFonts w:hint="eastAsia" w:ascii="宋体"/>
                        <w:sz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B452BD"/>
    <w:rsid w:val="00786687"/>
    <w:rsid w:val="01C57000"/>
    <w:rsid w:val="01CB4B01"/>
    <w:rsid w:val="01D41293"/>
    <w:rsid w:val="021D059A"/>
    <w:rsid w:val="029F05BB"/>
    <w:rsid w:val="02E964EE"/>
    <w:rsid w:val="031D07DC"/>
    <w:rsid w:val="04F769EA"/>
    <w:rsid w:val="05591E92"/>
    <w:rsid w:val="057329C7"/>
    <w:rsid w:val="057677DD"/>
    <w:rsid w:val="08C65CC0"/>
    <w:rsid w:val="090259E1"/>
    <w:rsid w:val="091912D9"/>
    <w:rsid w:val="0A1575E9"/>
    <w:rsid w:val="0A62192A"/>
    <w:rsid w:val="0AC35C9F"/>
    <w:rsid w:val="0B0A4C16"/>
    <w:rsid w:val="0B513180"/>
    <w:rsid w:val="0C032391"/>
    <w:rsid w:val="0D360F8D"/>
    <w:rsid w:val="0D53126D"/>
    <w:rsid w:val="0D6A6BBB"/>
    <w:rsid w:val="0DC3534F"/>
    <w:rsid w:val="0DE8257A"/>
    <w:rsid w:val="0E49410C"/>
    <w:rsid w:val="0E8B2B97"/>
    <w:rsid w:val="0ECF2CB1"/>
    <w:rsid w:val="0F402EFC"/>
    <w:rsid w:val="0F5E63FF"/>
    <w:rsid w:val="11067F48"/>
    <w:rsid w:val="11A25C66"/>
    <w:rsid w:val="121D23B5"/>
    <w:rsid w:val="12F61E3F"/>
    <w:rsid w:val="133C2FB1"/>
    <w:rsid w:val="13F35E29"/>
    <w:rsid w:val="13F56BD4"/>
    <w:rsid w:val="15485401"/>
    <w:rsid w:val="15F53AFE"/>
    <w:rsid w:val="16D26804"/>
    <w:rsid w:val="17C22468"/>
    <w:rsid w:val="18395ABE"/>
    <w:rsid w:val="18A17215"/>
    <w:rsid w:val="18AC537F"/>
    <w:rsid w:val="18B57996"/>
    <w:rsid w:val="19071C51"/>
    <w:rsid w:val="199A68D1"/>
    <w:rsid w:val="19A24E65"/>
    <w:rsid w:val="19A825CB"/>
    <w:rsid w:val="19AA3A0E"/>
    <w:rsid w:val="1A6537A0"/>
    <w:rsid w:val="1AC552B6"/>
    <w:rsid w:val="1B7266DD"/>
    <w:rsid w:val="1BBF0376"/>
    <w:rsid w:val="1C1A2264"/>
    <w:rsid w:val="1CD14FFA"/>
    <w:rsid w:val="1D223A1B"/>
    <w:rsid w:val="1D675A5B"/>
    <w:rsid w:val="1DAB0B28"/>
    <w:rsid w:val="1E227B2C"/>
    <w:rsid w:val="1E352DC4"/>
    <w:rsid w:val="1E79260E"/>
    <w:rsid w:val="1EDB36CB"/>
    <w:rsid w:val="1F3067DB"/>
    <w:rsid w:val="20222C8B"/>
    <w:rsid w:val="20B0650B"/>
    <w:rsid w:val="2126290A"/>
    <w:rsid w:val="215711D9"/>
    <w:rsid w:val="21C67229"/>
    <w:rsid w:val="22062400"/>
    <w:rsid w:val="22125F1E"/>
    <w:rsid w:val="22806A7F"/>
    <w:rsid w:val="238844A8"/>
    <w:rsid w:val="23F41E0D"/>
    <w:rsid w:val="242D3B13"/>
    <w:rsid w:val="25875BC7"/>
    <w:rsid w:val="26530B36"/>
    <w:rsid w:val="2687070A"/>
    <w:rsid w:val="27987D49"/>
    <w:rsid w:val="27A72484"/>
    <w:rsid w:val="27D716CE"/>
    <w:rsid w:val="28BF0191"/>
    <w:rsid w:val="28E01193"/>
    <w:rsid w:val="29070B1C"/>
    <w:rsid w:val="299B7FAC"/>
    <w:rsid w:val="2A5A04CF"/>
    <w:rsid w:val="2ACB3B4E"/>
    <w:rsid w:val="2BEF5D3E"/>
    <w:rsid w:val="2C122A1A"/>
    <w:rsid w:val="2C6F05A4"/>
    <w:rsid w:val="2CF2407A"/>
    <w:rsid w:val="2E9854CD"/>
    <w:rsid w:val="2E9D13E4"/>
    <w:rsid w:val="2F27028B"/>
    <w:rsid w:val="2F3C57D6"/>
    <w:rsid w:val="2F450457"/>
    <w:rsid w:val="2F4917F6"/>
    <w:rsid w:val="2F4D7362"/>
    <w:rsid w:val="2F5E0A8A"/>
    <w:rsid w:val="2FBC1A1D"/>
    <w:rsid w:val="2FC661DB"/>
    <w:rsid w:val="302F7193"/>
    <w:rsid w:val="31584BF5"/>
    <w:rsid w:val="32376EBA"/>
    <w:rsid w:val="327D364E"/>
    <w:rsid w:val="32985621"/>
    <w:rsid w:val="32F10244"/>
    <w:rsid w:val="3339276F"/>
    <w:rsid w:val="333A6D02"/>
    <w:rsid w:val="336C46C4"/>
    <w:rsid w:val="33D84F40"/>
    <w:rsid w:val="3489752B"/>
    <w:rsid w:val="359376E0"/>
    <w:rsid w:val="36571450"/>
    <w:rsid w:val="368836F2"/>
    <w:rsid w:val="36B66F36"/>
    <w:rsid w:val="372E6A19"/>
    <w:rsid w:val="37784B20"/>
    <w:rsid w:val="37AF6D7B"/>
    <w:rsid w:val="37FE57D8"/>
    <w:rsid w:val="3843587B"/>
    <w:rsid w:val="38BF6168"/>
    <w:rsid w:val="39482515"/>
    <w:rsid w:val="397B4F81"/>
    <w:rsid w:val="39E15387"/>
    <w:rsid w:val="3A6778DE"/>
    <w:rsid w:val="3AD912C0"/>
    <w:rsid w:val="3AFA55A9"/>
    <w:rsid w:val="3B083C1F"/>
    <w:rsid w:val="3B57A575"/>
    <w:rsid w:val="3B815FB2"/>
    <w:rsid w:val="3BB425F1"/>
    <w:rsid w:val="3C1C1A5D"/>
    <w:rsid w:val="3C3B324F"/>
    <w:rsid w:val="3C3B4805"/>
    <w:rsid w:val="3CAF717A"/>
    <w:rsid w:val="3CBC672A"/>
    <w:rsid w:val="3CDE1AD7"/>
    <w:rsid w:val="3D4E1F3A"/>
    <w:rsid w:val="3FA64D31"/>
    <w:rsid w:val="4048417C"/>
    <w:rsid w:val="40B715DD"/>
    <w:rsid w:val="416D1B2C"/>
    <w:rsid w:val="417A334B"/>
    <w:rsid w:val="41950E5D"/>
    <w:rsid w:val="41E420D2"/>
    <w:rsid w:val="4215279E"/>
    <w:rsid w:val="428B630B"/>
    <w:rsid w:val="43BA10CE"/>
    <w:rsid w:val="440272C8"/>
    <w:rsid w:val="44E806C0"/>
    <w:rsid w:val="450F24E3"/>
    <w:rsid w:val="456B3D66"/>
    <w:rsid w:val="457415FE"/>
    <w:rsid w:val="46516715"/>
    <w:rsid w:val="476A4D81"/>
    <w:rsid w:val="47B07F67"/>
    <w:rsid w:val="486971F2"/>
    <w:rsid w:val="49AD3E2E"/>
    <w:rsid w:val="4B2947C6"/>
    <w:rsid w:val="4B5708A7"/>
    <w:rsid w:val="4CAD2D70"/>
    <w:rsid w:val="4CC452BC"/>
    <w:rsid w:val="4CD96E69"/>
    <w:rsid w:val="4DEC1ADE"/>
    <w:rsid w:val="4E5054FE"/>
    <w:rsid w:val="4E542912"/>
    <w:rsid w:val="4E8714A1"/>
    <w:rsid w:val="4EC906BF"/>
    <w:rsid w:val="4EFE558B"/>
    <w:rsid w:val="4F2D1264"/>
    <w:rsid w:val="4F312C76"/>
    <w:rsid w:val="4F981A20"/>
    <w:rsid w:val="4FBC5368"/>
    <w:rsid w:val="501226C8"/>
    <w:rsid w:val="508A3296"/>
    <w:rsid w:val="50DB3791"/>
    <w:rsid w:val="50F65696"/>
    <w:rsid w:val="510114F3"/>
    <w:rsid w:val="5115563D"/>
    <w:rsid w:val="51167675"/>
    <w:rsid w:val="52771B8E"/>
    <w:rsid w:val="528B1170"/>
    <w:rsid w:val="52BA49E6"/>
    <w:rsid w:val="52F02B42"/>
    <w:rsid w:val="53CB5FCA"/>
    <w:rsid w:val="54015F31"/>
    <w:rsid w:val="5567105E"/>
    <w:rsid w:val="559F552B"/>
    <w:rsid w:val="56E420BB"/>
    <w:rsid w:val="571F3967"/>
    <w:rsid w:val="57685184"/>
    <w:rsid w:val="57B452BD"/>
    <w:rsid w:val="58275A8E"/>
    <w:rsid w:val="58803BC4"/>
    <w:rsid w:val="58956445"/>
    <w:rsid w:val="58BC2BAE"/>
    <w:rsid w:val="596E70E9"/>
    <w:rsid w:val="5A8C033F"/>
    <w:rsid w:val="5BA728D3"/>
    <w:rsid w:val="5C281568"/>
    <w:rsid w:val="5C36181F"/>
    <w:rsid w:val="5C4C7525"/>
    <w:rsid w:val="5CE52126"/>
    <w:rsid w:val="5CE935B8"/>
    <w:rsid w:val="5D634B76"/>
    <w:rsid w:val="5DFD41BC"/>
    <w:rsid w:val="5E31392F"/>
    <w:rsid w:val="5E8B1774"/>
    <w:rsid w:val="5EC251DF"/>
    <w:rsid w:val="5F0F13CD"/>
    <w:rsid w:val="5F2C5926"/>
    <w:rsid w:val="5F7D4C06"/>
    <w:rsid w:val="5F7FA1E1"/>
    <w:rsid w:val="60162B2A"/>
    <w:rsid w:val="60284207"/>
    <w:rsid w:val="613761A4"/>
    <w:rsid w:val="61B1310C"/>
    <w:rsid w:val="61F119E9"/>
    <w:rsid w:val="62385D62"/>
    <w:rsid w:val="62980241"/>
    <w:rsid w:val="63864162"/>
    <w:rsid w:val="63E13FDD"/>
    <w:rsid w:val="648A0BF8"/>
    <w:rsid w:val="65E80505"/>
    <w:rsid w:val="6622159F"/>
    <w:rsid w:val="663A24EE"/>
    <w:rsid w:val="665A2371"/>
    <w:rsid w:val="681E6326"/>
    <w:rsid w:val="689D19C4"/>
    <w:rsid w:val="69A26A02"/>
    <w:rsid w:val="69A80C2B"/>
    <w:rsid w:val="6A3341CF"/>
    <w:rsid w:val="6A6A3D2F"/>
    <w:rsid w:val="6AF99C97"/>
    <w:rsid w:val="6B3217B1"/>
    <w:rsid w:val="6B6117AE"/>
    <w:rsid w:val="6B8D2FC8"/>
    <w:rsid w:val="6BBE098F"/>
    <w:rsid w:val="6BBF2733"/>
    <w:rsid w:val="6BFF857A"/>
    <w:rsid w:val="6C974361"/>
    <w:rsid w:val="6CFA7502"/>
    <w:rsid w:val="6D75557D"/>
    <w:rsid w:val="6D8C2C17"/>
    <w:rsid w:val="6ED149F8"/>
    <w:rsid w:val="6F7FC8ED"/>
    <w:rsid w:val="6F93230D"/>
    <w:rsid w:val="6FDF2A1D"/>
    <w:rsid w:val="701F62BB"/>
    <w:rsid w:val="70247587"/>
    <w:rsid w:val="70D23371"/>
    <w:rsid w:val="70EE3C37"/>
    <w:rsid w:val="71582822"/>
    <w:rsid w:val="71722066"/>
    <w:rsid w:val="71D923E1"/>
    <w:rsid w:val="7297081D"/>
    <w:rsid w:val="73161F85"/>
    <w:rsid w:val="735E799D"/>
    <w:rsid w:val="737B6DB3"/>
    <w:rsid w:val="73837FC1"/>
    <w:rsid w:val="73EB6081"/>
    <w:rsid w:val="750A6454"/>
    <w:rsid w:val="75234063"/>
    <w:rsid w:val="75AB17E9"/>
    <w:rsid w:val="75CFACFB"/>
    <w:rsid w:val="76595BF4"/>
    <w:rsid w:val="773233A5"/>
    <w:rsid w:val="77C934D5"/>
    <w:rsid w:val="784D450B"/>
    <w:rsid w:val="78DEE24D"/>
    <w:rsid w:val="794261F3"/>
    <w:rsid w:val="799B3B0C"/>
    <w:rsid w:val="79B754A8"/>
    <w:rsid w:val="79D63972"/>
    <w:rsid w:val="79F40EBE"/>
    <w:rsid w:val="7AB02DE0"/>
    <w:rsid w:val="7ABB037C"/>
    <w:rsid w:val="7AD47368"/>
    <w:rsid w:val="7AE04CAB"/>
    <w:rsid w:val="7AF87E7A"/>
    <w:rsid w:val="7B6260FA"/>
    <w:rsid w:val="7B966204"/>
    <w:rsid w:val="7BBB4331"/>
    <w:rsid w:val="7BDD2B5E"/>
    <w:rsid w:val="7CBC36C5"/>
    <w:rsid w:val="7CDD4D9C"/>
    <w:rsid w:val="7D290E9B"/>
    <w:rsid w:val="7D782F78"/>
    <w:rsid w:val="7DAE41A4"/>
    <w:rsid w:val="7DF3A8F2"/>
    <w:rsid w:val="7DFC7149"/>
    <w:rsid w:val="7DFD06E7"/>
    <w:rsid w:val="7E0B7E3C"/>
    <w:rsid w:val="7E6F7456"/>
    <w:rsid w:val="7EFA2E85"/>
    <w:rsid w:val="7EFD15C6"/>
    <w:rsid w:val="7F04090D"/>
    <w:rsid w:val="7F1B8D92"/>
    <w:rsid w:val="7FBE822D"/>
    <w:rsid w:val="7FFFBBE0"/>
    <w:rsid w:val="952FF58D"/>
    <w:rsid w:val="AEFF7E08"/>
    <w:rsid w:val="BEEB660B"/>
    <w:rsid w:val="DAFA55AA"/>
    <w:rsid w:val="DDFFE781"/>
    <w:rsid w:val="E9A6186D"/>
    <w:rsid w:val="EFDBE5B1"/>
    <w:rsid w:val="EFFC3CE6"/>
    <w:rsid w:val="F8FFDE16"/>
    <w:rsid w:val="FE128204"/>
    <w:rsid w:val="FFEF99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qFormat="1"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jc w:val="center"/>
      <w:outlineLvl w:val="0"/>
    </w:pPr>
    <w:rPr>
      <w:rFonts w:hint="eastAsia" w:ascii="宋体" w:hAnsi="宋体" w:eastAsia="方正小标宋_GBK" w:cs="Times New Roman"/>
      <w:b/>
      <w:kern w:val="44"/>
      <w:sz w:val="44"/>
      <w:szCs w:val="24"/>
    </w:rPr>
  </w:style>
  <w:style w:type="paragraph" w:styleId="5">
    <w:name w:val="heading 2"/>
    <w:basedOn w:val="1"/>
    <w:next w:val="1"/>
    <w:semiHidden/>
    <w:unhideWhenUsed/>
    <w:qFormat/>
    <w:uiPriority w:val="0"/>
    <w:pPr>
      <w:spacing w:beforeAutospacing="0" w:afterAutospacing="0" w:line="560" w:lineRule="exact"/>
      <w:ind w:firstLine="880" w:firstLineChars="200"/>
      <w:jc w:val="left"/>
      <w:outlineLvl w:val="1"/>
    </w:pPr>
    <w:rPr>
      <w:rFonts w:hint="eastAsia" w:ascii="宋体" w:hAnsi="宋体" w:eastAsia="黑体" w:cs="Tunga"/>
      <w:b/>
      <w:sz w:val="32"/>
      <w:szCs w:val="36"/>
    </w:rPr>
  </w:style>
  <w:style w:type="paragraph" w:styleId="6">
    <w:name w:val="heading 3"/>
    <w:basedOn w:val="1"/>
    <w:next w:val="1"/>
    <w:semiHidden/>
    <w:unhideWhenUsed/>
    <w:qFormat/>
    <w:uiPriority w:val="0"/>
    <w:pPr>
      <w:keepNext/>
      <w:keepLines/>
      <w:spacing w:line="560" w:lineRule="exact"/>
      <w:ind w:firstLine="880" w:firstLineChars="200"/>
      <w:jc w:val="left"/>
      <w:outlineLvl w:val="2"/>
    </w:pPr>
    <w:rPr>
      <w:rFonts w:eastAsia="楷体_GB2312" w:cs="Times New Roman"/>
      <w:b/>
      <w:sz w:val="32"/>
    </w:rPr>
  </w:style>
  <w:style w:type="paragraph" w:styleId="7">
    <w:name w:val="heading 4"/>
    <w:basedOn w:val="1"/>
    <w:next w:val="1"/>
    <w:semiHidden/>
    <w:unhideWhenUsed/>
    <w:qFormat/>
    <w:uiPriority w:val="0"/>
    <w:pPr>
      <w:keepNext/>
      <w:keepLines/>
      <w:spacing w:beforeLines="0" w:beforeAutospacing="0" w:afterLines="0" w:afterAutospacing="0" w:line="600" w:lineRule="exact"/>
      <w:jc w:val="left"/>
      <w:outlineLvl w:val="3"/>
    </w:pPr>
    <w:rPr>
      <w:rFonts w:ascii="Arial" w:hAnsi="Arial" w:eastAsia="仿宋_GB2312"/>
      <w:b/>
      <w:sz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Lines="0" w:afterAutospacing="0"/>
    </w:pPr>
  </w:style>
  <w:style w:type="paragraph" w:styleId="3">
    <w:name w:val="macro"/>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Theme="minorEastAsia" w:cstheme="minorBidi"/>
      <w:kern w:val="2"/>
      <w:sz w:val="24"/>
      <w:lang w:val="en-US" w:eastAsia="zh-CN" w:bidi="ar-SA"/>
    </w:rPr>
  </w:style>
  <w:style w:type="paragraph" w:styleId="8">
    <w:name w:val="annotation text"/>
    <w:basedOn w:val="1"/>
    <w:qFormat/>
    <w:uiPriority w:val="0"/>
    <w:pPr>
      <w:jc w:val="left"/>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page number"/>
    <w:basedOn w:val="13"/>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4</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2025-04-23T22:42:00Z</dcterms:created>
  <dc:creator>杨泽</dc:creator>
  <cp:lastModifiedBy>uos</cp:lastModifiedBy>
  <cp:lastPrinted>2025-10-17T23:22:00Z</cp:lastPrinted>
  <dcterms:modified xsi:type="dcterms:W3CDTF">2026-01-16T15:46:23Z</dcterms:modified>
  <dc:title>附件</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8DE4DD19CA09437EB5C3F9F7F10A26C8</vt:lpwstr>
  </property>
  <property fmtid="{D5CDD505-2E9C-101B-9397-08002B2CF9AE}" pid="3" name="KSOProductBuildVer">
    <vt:lpwstr>2052-11.8.2.10125</vt:lpwstr>
  </property>
</Properties>
</file>