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9604C">
      <w:pPr>
        <w:widowControl/>
        <w:spacing w:before="0" w:beforeLines="0" w:after="0" w:afterLines="0" w:line="560" w:lineRule="exact"/>
        <w:ind w:left="0" w:leftChars="0" w:firstLine="0" w:firstLineChars="0"/>
        <w:jc w:val="center"/>
        <w:rPr>
          <w:rFonts w:hint="eastAsia" w:ascii="方正小标宋简体" w:hAnsi="方正小标宋简体" w:eastAsia="方正小标宋简体" w:cs="方正小标宋简体"/>
          <w:kern w:val="0"/>
          <w:sz w:val="44"/>
          <w:szCs w:val="44"/>
          <w:highlight w:val="none"/>
          <w:lang w:eastAsia="en-US"/>
        </w:rPr>
      </w:pPr>
    </w:p>
    <w:p w14:paraId="61902772">
      <w:pPr>
        <w:widowControl/>
        <w:spacing w:before="0" w:beforeLines="0" w:after="0" w:afterLines="0" w:line="560" w:lineRule="exact"/>
        <w:ind w:left="0" w:leftChars="0" w:firstLine="0" w:firstLineChars="0"/>
        <w:jc w:val="center"/>
        <w:rPr>
          <w:rFonts w:hint="eastAsia" w:ascii="方正小标宋简体" w:hAnsi="方正小标宋简体" w:eastAsia="方正小标宋简体" w:cs="方正小标宋简体"/>
          <w:kern w:val="0"/>
          <w:sz w:val="44"/>
          <w:szCs w:val="44"/>
          <w:highlight w:val="none"/>
          <w:lang w:eastAsia="en-US"/>
        </w:rPr>
      </w:pPr>
      <w:r>
        <w:rPr>
          <w:rFonts w:hint="eastAsia" w:ascii="方正小标宋简体" w:hAnsi="方正小标宋简体" w:eastAsia="方正小标宋简体" w:cs="方正小标宋简体"/>
          <w:kern w:val="0"/>
          <w:sz w:val="44"/>
          <w:szCs w:val="44"/>
          <w:highlight w:val="none"/>
          <w:lang w:eastAsia="en-US"/>
        </w:rPr>
        <w:t>宁夏</w:t>
      </w:r>
      <w:r>
        <w:rPr>
          <w:rFonts w:hint="eastAsia" w:ascii="方正小标宋简体" w:hAnsi="方正小标宋简体" w:eastAsia="方正小标宋简体" w:cs="方正小标宋简体"/>
          <w:kern w:val="0"/>
          <w:sz w:val="44"/>
          <w:szCs w:val="44"/>
          <w:highlight w:val="none"/>
          <w:lang w:val="en-US" w:eastAsia="zh-CN"/>
        </w:rPr>
        <w:t>分布式新能源参与</w:t>
      </w:r>
      <w:r>
        <w:rPr>
          <w:rFonts w:hint="eastAsia" w:ascii="方正小标宋简体" w:hAnsi="方正小标宋简体" w:eastAsia="方正小标宋简体" w:cs="方正小标宋简体"/>
          <w:kern w:val="0"/>
          <w:sz w:val="44"/>
          <w:szCs w:val="44"/>
          <w:highlight w:val="none"/>
          <w:lang w:eastAsia="en-US"/>
        </w:rPr>
        <w:t>市场交易方案</w:t>
      </w:r>
    </w:p>
    <w:p w14:paraId="40C4A893">
      <w:pPr>
        <w:widowControl/>
        <w:spacing w:before="0" w:beforeLines="0" w:after="0" w:afterLines="0" w:line="560" w:lineRule="exact"/>
        <w:ind w:firstLine="640" w:firstLineChars="200"/>
        <w:jc w:val="left"/>
        <w:rPr>
          <w:rFonts w:hint="eastAsia" w:ascii="仿宋_GB2312" w:hAnsi="仿宋_GB2312" w:eastAsia="仿宋_GB2312" w:cs="21"/>
          <w:kern w:val="0"/>
          <w:sz w:val="32"/>
          <w:highlight w:val="none"/>
          <w:lang w:val="en-US" w:eastAsia="zh-CN"/>
        </w:rPr>
      </w:pPr>
    </w:p>
    <w:p w14:paraId="7AF49234">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kern w:val="0"/>
          <w:sz w:val="32"/>
          <w:szCs w:val="32"/>
          <w:highlight w:val="none"/>
          <w:lang w:eastAsia="en-US"/>
        </w:rPr>
      </w:pPr>
      <w:r>
        <w:rPr>
          <w:rFonts w:hint="eastAsia" w:ascii="仿宋_GB2312" w:hAnsi="仿宋_GB2312" w:eastAsia="仿宋_GB2312" w:cs="仿宋_GB2312"/>
          <w:kern w:val="0"/>
          <w:sz w:val="32"/>
          <w:szCs w:val="32"/>
          <w:highlight w:val="none"/>
          <w:lang w:eastAsia="en-US"/>
        </w:rPr>
        <w:t>为</w:t>
      </w:r>
      <w:r>
        <w:rPr>
          <w:rFonts w:hint="eastAsia" w:ascii="仿宋_GB2312" w:hAnsi="仿宋_GB2312" w:eastAsia="仿宋_GB2312" w:cs="仿宋_GB2312"/>
          <w:kern w:val="0"/>
          <w:sz w:val="32"/>
          <w:szCs w:val="32"/>
          <w:highlight w:val="none"/>
          <w:lang w:val="en-US" w:eastAsia="zh-CN"/>
        </w:rPr>
        <w:t>落实《国家发展改革委 国家能源局关于深化新能源上网电价市场化改革 促进新能源高质量发展的通知》（发改价格〔2025〕136号）精神</w:t>
      </w:r>
      <w:r>
        <w:rPr>
          <w:rFonts w:hint="eastAsia" w:ascii="仿宋_GB2312" w:hAnsi="仿宋_GB2312" w:eastAsia="仿宋_GB2312" w:cs="仿宋_GB2312"/>
          <w:kern w:val="0"/>
          <w:sz w:val="32"/>
          <w:szCs w:val="32"/>
          <w:highlight w:val="none"/>
          <w:lang w:eastAsia="en-US"/>
        </w:rPr>
        <w:t>，</w:t>
      </w:r>
      <w:r>
        <w:rPr>
          <w:rFonts w:hint="eastAsia" w:ascii="仿宋_GB2312" w:hAnsi="仿宋_GB2312" w:eastAsia="仿宋_GB2312" w:cs="仿宋_GB2312"/>
          <w:kern w:val="0"/>
          <w:sz w:val="32"/>
          <w:szCs w:val="32"/>
          <w:highlight w:val="none"/>
          <w:lang w:eastAsia="zh-CN"/>
        </w:rPr>
        <w:t>按照</w:t>
      </w:r>
      <w:r>
        <w:rPr>
          <w:rFonts w:hint="eastAsia" w:ascii="仿宋_GB2312" w:hAnsi="仿宋_GB2312" w:eastAsia="仿宋_GB2312" w:cs="仿宋_GB2312"/>
          <w:kern w:val="0"/>
          <w:sz w:val="32"/>
          <w:szCs w:val="32"/>
          <w:highlight w:val="none"/>
          <w:lang w:val="en-US" w:eastAsia="zh-CN"/>
        </w:rPr>
        <w:t>《电力市场注册基本规则》（国能发监管规〔2024〕76号）</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《自治区深化新能源上网电价市场化改革实施方案》（宁发改价格（管理）〔2025〕580号）等文件要求，</w:t>
      </w:r>
      <w:r>
        <w:rPr>
          <w:rFonts w:hint="eastAsia" w:ascii="仿宋_GB2312" w:hAnsi="仿宋_GB2312" w:eastAsia="仿宋_GB2312" w:cs="仿宋_GB2312"/>
          <w:kern w:val="0"/>
          <w:sz w:val="32"/>
          <w:szCs w:val="32"/>
          <w:highlight w:val="none"/>
          <w:lang w:eastAsia="en-US"/>
        </w:rPr>
        <w:t>做好</w:t>
      </w:r>
      <w:r>
        <w:rPr>
          <w:rFonts w:hint="eastAsia" w:ascii="仿宋_GB2312" w:hAnsi="仿宋_GB2312" w:eastAsia="仿宋_GB2312" w:cs="仿宋_GB2312"/>
          <w:kern w:val="0"/>
          <w:sz w:val="32"/>
          <w:szCs w:val="32"/>
          <w:highlight w:val="none"/>
          <w:lang w:val="en-US" w:eastAsia="zh-CN"/>
        </w:rPr>
        <w:t>分布式新能源</w:t>
      </w:r>
      <w:r>
        <w:rPr>
          <w:rFonts w:hint="eastAsia" w:ascii="仿宋_GB2312" w:hAnsi="仿宋_GB2312" w:eastAsia="仿宋_GB2312" w:cs="仿宋_GB2312"/>
          <w:kern w:val="0"/>
          <w:sz w:val="32"/>
          <w:szCs w:val="32"/>
          <w:highlight w:val="none"/>
          <w:lang w:eastAsia="en-US"/>
        </w:rPr>
        <w:t>参与市场</w:t>
      </w:r>
      <w:r>
        <w:rPr>
          <w:rFonts w:hint="eastAsia" w:ascii="仿宋_GB2312" w:hAnsi="仿宋_GB2312" w:eastAsia="仿宋_GB2312" w:cs="仿宋_GB2312"/>
          <w:kern w:val="0"/>
          <w:sz w:val="32"/>
          <w:szCs w:val="32"/>
          <w:highlight w:val="none"/>
          <w:lang w:val="en-US" w:eastAsia="zh-CN"/>
        </w:rPr>
        <w:t>交易</w:t>
      </w:r>
      <w:r>
        <w:rPr>
          <w:rFonts w:hint="eastAsia" w:ascii="仿宋_GB2312" w:hAnsi="仿宋_GB2312" w:eastAsia="仿宋_GB2312" w:cs="仿宋_GB2312"/>
          <w:kern w:val="0"/>
          <w:sz w:val="32"/>
          <w:szCs w:val="32"/>
          <w:highlight w:val="none"/>
          <w:lang w:eastAsia="en-US"/>
        </w:rPr>
        <w:t>，结合宁夏电力市场</w:t>
      </w:r>
      <w:r>
        <w:rPr>
          <w:rFonts w:hint="eastAsia" w:ascii="仿宋_GB2312" w:hAnsi="仿宋_GB2312" w:eastAsia="仿宋_GB2312" w:cs="仿宋_GB2312"/>
          <w:kern w:val="0"/>
          <w:sz w:val="32"/>
          <w:szCs w:val="32"/>
          <w:highlight w:val="none"/>
          <w:lang w:val="en-US" w:eastAsia="zh-CN"/>
        </w:rPr>
        <w:t>运行</w:t>
      </w:r>
      <w:r>
        <w:rPr>
          <w:rFonts w:hint="eastAsia" w:ascii="仿宋_GB2312" w:hAnsi="仿宋_GB2312" w:eastAsia="仿宋_GB2312" w:cs="仿宋_GB2312"/>
          <w:kern w:val="0"/>
          <w:sz w:val="32"/>
          <w:szCs w:val="32"/>
          <w:highlight w:val="none"/>
          <w:lang w:eastAsia="en-US"/>
        </w:rPr>
        <w:t>实际，现就有关事项通知如下。</w:t>
      </w:r>
    </w:p>
    <w:p w14:paraId="1E026BB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1"/>
        <w:rPr>
          <w:rFonts w:hint="eastAsia" w:ascii="黑体" w:hAnsi="黑体" w:eastAsia="黑体" w:cs="黑体"/>
          <w:b w:val="0"/>
          <w:bCs w:val="0"/>
          <w:kern w:val="2"/>
          <w:sz w:val="32"/>
          <w:szCs w:val="32"/>
          <w:highlight w:val="none"/>
          <w:lang w:val="en-US" w:eastAsia="zh-CN"/>
        </w:rPr>
      </w:pPr>
      <w:r>
        <w:rPr>
          <w:rFonts w:hint="eastAsia" w:ascii="黑体" w:hAnsi="黑体" w:eastAsia="黑体" w:cs="黑体"/>
          <w:b w:val="0"/>
          <w:bCs w:val="0"/>
          <w:kern w:val="2"/>
          <w:sz w:val="32"/>
          <w:szCs w:val="32"/>
          <w:highlight w:val="none"/>
          <w:lang w:val="en-US" w:eastAsia="zh-CN"/>
        </w:rPr>
        <w:t>一、入市方式</w:t>
      </w:r>
    </w:p>
    <w:p w14:paraId="006E1B2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分布式（含分散式）新能源项目（以下称“分布式新能源项</w:t>
      </w:r>
      <w:r>
        <w:rPr>
          <w:rFonts w:hint="eastAsia" w:ascii="仿宋_GB2312" w:hAnsi="仿宋_GB2312" w:eastAsia="仿宋_GB2312" w:cs="仿宋_GB2312"/>
          <w:b w:val="0"/>
          <w:bCs w:val="0"/>
          <w:kern w:val="2"/>
          <w:sz w:val="32"/>
          <w:szCs w:val="32"/>
          <w:highlight w:val="none"/>
          <w:lang w:val="en-US" w:eastAsia="zh-CN" w:bidi="ar-SA"/>
        </w:rPr>
        <w:t>目”）可按以下任一方式进入市场：</w:t>
      </w:r>
    </w:p>
    <w:p w14:paraId="510EDD85">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val="en-US" w:eastAsia="zh-CN"/>
        </w:rPr>
        <w:t>1.直接参与市场交易。分布式新能源项目在交易平台完成市场注册，自主参与市场交易。</w:t>
      </w:r>
    </w:p>
    <w:p w14:paraId="217E5535">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kern w:val="0"/>
          <w:sz w:val="32"/>
          <w:highlight w:val="none"/>
          <w:lang w:val="en-US" w:eastAsia="zh-CN"/>
        </w:rPr>
        <w:t>2.</w:t>
      </w:r>
      <w:bookmarkStart w:id="0" w:name="OLE_LINK1"/>
      <w:r>
        <w:rPr>
          <w:rFonts w:hint="eastAsia" w:ascii="仿宋_GB2312" w:hAnsi="仿宋_GB2312" w:eastAsia="仿宋_GB2312" w:cs="仿宋_GB2312"/>
          <w:b w:val="0"/>
          <w:bCs w:val="0"/>
          <w:kern w:val="0"/>
          <w:sz w:val="32"/>
          <w:highlight w:val="none"/>
          <w:lang w:val="en-US" w:eastAsia="zh-CN"/>
        </w:rPr>
        <w:t>聚合参与市场</w:t>
      </w:r>
      <w:bookmarkEnd w:id="0"/>
      <w:r>
        <w:rPr>
          <w:rFonts w:hint="eastAsia" w:ascii="仿宋_GB2312" w:hAnsi="仿宋_GB2312" w:eastAsia="仿宋_GB2312" w:cs="仿宋_GB2312"/>
          <w:b w:val="0"/>
          <w:bCs w:val="0"/>
          <w:kern w:val="0"/>
          <w:sz w:val="32"/>
          <w:szCs w:val="32"/>
          <w:highlight w:val="none"/>
          <w:lang w:val="en-US" w:eastAsia="zh-CN"/>
        </w:rPr>
        <w:t>交易</w:t>
      </w:r>
      <w:r>
        <w:rPr>
          <w:rFonts w:hint="eastAsia" w:ascii="仿宋_GB2312" w:hAnsi="仿宋_GB2312" w:eastAsia="仿宋_GB2312" w:cs="仿宋_GB2312"/>
          <w:b w:val="0"/>
          <w:bCs w:val="0"/>
          <w:kern w:val="0"/>
          <w:sz w:val="32"/>
          <w:highlight w:val="none"/>
          <w:lang w:val="en-US" w:eastAsia="zh-CN"/>
        </w:rPr>
        <w:t>。</w:t>
      </w:r>
      <w:r>
        <w:rPr>
          <w:rFonts w:hint="eastAsia" w:ascii="仿宋_GB2312" w:hAnsi="仿宋_GB2312" w:eastAsia="仿宋_GB2312" w:cs="仿宋_GB2312"/>
          <w:b w:val="0"/>
          <w:bCs w:val="0"/>
          <w:kern w:val="0"/>
          <w:sz w:val="32"/>
          <w:szCs w:val="32"/>
          <w:highlight w:val="none"/>
          <w:lang w:val="en-US" w:eastAsia="zh-CN"/>
        </w:rPr>
        <w:t>分布式新能源项目在交易平台完成市场注册，并与</w:t>
      </w:r>
      <w:r>
        <w:rPr>
          <w:rFonts w:hint="eastAsia" w:ascii="仿宋_GB2312" w:hAnsi="仿宋_GB2312" w:eastAsia="仿宋_GB2312" w:cs="仿宋_GB2312"/>
          <w:b w:val="0"/>
          <w:bCs w:val="0"/>
          <w:color w:val="000000"/>
          <w:kern w:val="0"/>
          <w:sz w:val="32"/>
          <w:szCs w:val="32"/>
          <w:highlight w:val="none"/>
          <w:lang w:val="en-US" w:eastAsia="zh-CN" w:bidi="ar"/>
        </w:rPr>
        <w:t>负荷聚合商（含虚拟电厂，下同）建立代理关系。</w:t>
      </w:r>
    </w:p>
    <w:p w14:paraId="2196EC57">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val="en-US" w:eastAsia="zh-CN"/>
        </w:rPr>
        <w:t>3.作为价格接受者参与市场交易。分布式新能源项目无需在交易平台注册。</w:t>
      </w:r>
    </w:p>
    <w:p w14:paraId="6B5F265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1"/>
        <w:rPr>
          <w:rFonts w:hint="eastAsia" w:ascii="黑体" w:hAnsi="黑体" w:eastAsia="黑体" w:cs="黑体"/>
          <w:b w:val="0"/>
          <w:bCs w:val="0"/>
          <w:kern w:val="2"/>
          <w:sz w:val="32"/>
          <w:szCs w:val="32"/>
          <w:highlight w:val="none"/>
          <w:lang w:val="en-US" w:eastAsia="zh-CN"/>
        </w:rPr>
      </w:pPr>
      <w:r>
        <w:rPr>
          <w:rFonts w:hint="eastAsia" w:ascii="黑体" w:hAnsi="黑体" w:eastAsia="黑体" w:cs="黑体"/>
          <w:b w:val="0"/>
          <w:bCs w:val="0"/>
          <w:kern w:val="2"/>
          <w:sz w:val="32"/>
          <w:szCs w:val="32"/>
          <w:highlight w:val="none"/>
          <w:lang w:val="en-US" w:eastAsia="zh-CN"/>
        </w:rPr>
        <w:t xml:space="preserve">二、市场注册 </w:t>
      </w:r>
    </w:p>
    <w:p w14:paraId="2CD47E95">
      <w:pPr>
        <w:pStyle w:val="6"/>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 xml:space="preserve">1.分布式新能源项目市场注册应满足以下条件： </w:t>
      </w:r>
    </w:p>
    <w:p w14:paraId="50734651">
      <w:pPr>
        <w:pStyle w:val="6"/>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（1）依法取得发电项目核准或者备案文件；</w:t>
      </w:r>
    </w:p>
    <w:p w14:paraId="504D8505">
      <w:pPr>
        <w:pStyle w:val="6"/>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 xml:space="preserve">（2）与电网企业签订并网调度协议，根据电压等级标准接入新型电力负荷管理系统或电力调度自动化系统(由电网企业或调度机构出具相关说明）； </w:t>
      </w:r>
    </w:p>
    <w:p w14:paraId="48E91E45">
      <w:pPr>
        <w:pStyle w:val="6"/>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（3）具备相应的计量能力或者替代技术手段，满足电力市场计量和结算的要求。</w:t>
      </w:r>
    </w:p>
    <w:p w14:paraId="7E3D1BB9">
      <w:pPr>
        <w:pStyle w:val="6"/>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2.满足市场注册条件的分布式新能源项目可通过宁夏电力交易平台办理市场注册，注册生效后可参与次月市场交易。</w:t>
      </w:r>
    </w:p>
    <w:p w14:paraId="47A159ED">
      <w:pPr>
        <w:pStyle w:val="6"/>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3.未在交易平台完成注册的，作为价格接受者参与市场交易。</w:t>
      </w:r>
    </w:p>
    <w:p w14:paraId="6D9AF64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1"/>
        <w:rPr>
          <w:rFonts w:hint="eastAsia" w:ascii="黑体" w:hAnsi="黑体" w:eastAsia="黑体" w:cs="黑体"/>
          <w:b w:val="0"/>
          <w:bCs w:val="0"/>
          <w:kern w:val="2"/>
          <w:sz w:val="32"/>
          <w:szCs w:val="32"/>
          <w:highlight w:val="none"/>
          <w:lang w:val="en-US" w:eastAsia="zh-CN"/>
        </w:rPr>
      </w:pPr>
      <w:r>
        <w:rPr>
          <w:rFonts w:hint="eastAsia" w:ascii="黑体" w:hAnsi="黑体" w:eastAsia="黑体" w:cs="黑体"/>
          <w:b w:val="0"/>
          <w:bCs w:val="0"/>
          <w:kern w:val="2"/>
          <w:sz w:val="32"/>
          <w:szCs w:val="32"/>
          <w:highlight w:val="none"/>
          <w:lang w:val="en-US" w:eastAsia="zh-CN"/>
        </w:rPr>
        <w:t>三、交易组织</w:t>
      </w:r>
    </w:p>
    <w:p w14:paraId="7687ABA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1.分布式新能源项目按照现行市场交易规则以直接或聚合方式</w:t>
      </w:r>
      <w:r>
        <w:rPr>
          <w:rFonts w:hint="eastAsia" w:ascii="仿宋_GB2312" w:hAnsi="仿宋_GB2312" w:eastAsia="仿宋_GB2312" w:cs="仿宋_GB2312"/>
          <w:kern w:val="2"/>
          <w:sz w:val="32"/>
          <w:szCs w:val="22"/>
          <w:highlight w:val="none"/>
          <w:lang w:val="en-US" w:eastAsia="zh-CN" w:bidi="ar-SA"/>
        </w:rPr>
        <w:t>参与市场交易</w:t>
      </w:r>
      <w:r>
        <w:rPr>
          <w:rFonts w:hint="eastAsia" w:ascii="仿宋_GB2312" w:hAnsi="仿宋_GB2312" w:eastAsia="仿宋_GB2312" w:cs="仿宋_GB2312"/>
          <w:color w:val="000000"/>
          <w:kern w:val="0"/>
          <w:sz w:val="32"/>
          <w:szCs w:val="32"/>
          <w:highlight w:val="none"/>
          <w:lang w:val="en-US" w:eastAsia="zh-CN" w:bidi="ar"/>
        </w:rPr>
        <w:t>。</w:t>
      </w:r>
    </w:p>
    <w:p w14:paraId="6FEF7B7F">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w:t>
      </w:r>
      <w:r>
        <w:rPr>
          <w:rFonts w:hint="eastAsia" w:ascii="仿宋_GB2312" w:hAnsi="仿宋_GB2312" w:eastAsia="仿宋_GB2312" w:cs="仿宋_GB2312"/>
          <w:kern w:val="0"/>
          <w:sz w:val="32"/>
          <w:szCs w:val="32"/>
          <w:highlight w:val="none"/>
          <w:lang w:val="en-US" w:eastAsia="zh-CN"/>
        </w:rPr>
        <w:t>分布式新能源项目直接或聚合</w:t>
      </w:r>
      <w:r>
        <w:rPr>
          <w:rFonts w:hint="eastAsia" w:ascii="仿宋_GB2312" w:hAnsi="仿宋_GB2312" w:eastAsia="仿宋_GB2312" w:cs="仿宋_GB2312"/>
          <w:kern w:val="0"/>
          <w:sz w:val="32"/>
          <w:highlight w:val="none"/>
          <w:lang w:val="en-US" w:eastAsia="zh-CN"/>
        </w:rPr>
        <w:t>参与中长期</w:t>
      </w:r>
      <w:r>
        <w:rPr>
          <w:rFonts w:hint="eastAsia" w:ascii="仿宋_GB2312" w:hAnsi="仿宋_GB2312" w:eastAsia="仿宋_GB2312" w:cs="仿宋_GB2312"/>
          <w:kern w:val="0"/>
          <w:sz w:val="32"/>
          <w:szCs w:val="32"/>
          <w:highlight w:val="none"/>
          <w:lang w:val="en-US" w:eastAsia="zh-CN"/>
        </w:rPr>
        <w:t>交易</w:t>
      </w:r>
      <w:r>
        <w:rPr>
          <w:rFonts w:hint="eastAsia" w:ascii="仿宋_GB2312" w:hAnsi="仿宋_GB2312" w:eastAsia="仿宋_GB2312" w:cs="仿宋_GB2312"/>
          <w:color w:val="000000"/>
          <w:kern w:val="0"/>
          <w:sz w:val="32"/>
          <w:szCs w:val="32"/>
          <w:highlight w:val="none"/>
          <w:lang w:val="en-US" w:eastAsia="zh-CN" w:bidi="ar"/>
        </w:rPr>
        <w:t>，交易结果需提交电力调度机构进行安全校核。</w:t>
      </w:r>
    </w:p>
    <w:p w14:paraId="4B4A695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1"/>
        <w:rPr>
          <w:rFonts w:hint="eastAsia" w:ascii="黑体" w:hAnsi="黑体" w:eastAsia="黑体" w:cs="黑体"/>
          <w:b w:val="0"/>
          <w:bCs w:val="0"/>
          <w:kern w:val="2"/>
          <w:sz w:val="32"/>
          <w:szCs w:val="32"/>
          <w:highlight w:val="none"/>
          <w:lang w:val="en-US" w:eastAsia="zh-CN"/>
        </w:rPr>
      </w:pPr>
      <w:r>
        <w:rPr>
          <w:rFonts w:hint="eastAsia" w:ascii="黑体" w:hAnsi="黑体" w:eastAsia="黑体" w:cs="黑体"/>
          <w:b w:val="0"/>
          <w:bCs w:val="0"/>
          <w:kern w:val="2"/>
          <w:sz w:val="32"/>
          <w:szCs w:val="32"/>
          <w:highlight w:val="none"/>
          <w:lang w:val="en-US" w:eastAsia="zh-CN"/>
        </w:rPr>
        <w:t>四、聚合管理</w:t>
      </w:r>
    </w:p>
    <w:p w14:paraId="41C01F38">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firstLine="640" w:firstLineChars="200"/>
        <w:jc w:val="both"/>
        <w:textAlignment w:val="auto"/>
        <w:rPr>
          <w:rFonts w:hint="eastAsia" w:ascii="仿宋_GB2312" w:hAnsi="仿宋_GB2312" w:eastAsia="仿宋_GB2312" w:cs="仿宋_GB2312"/>
          <w:b w:val="0"/>
          <w:bCs w:val="0"/>
          <w:kern w:val="2"/>
          <w:sz w:val="32"/>
          <w:szCs w:val="22"/>
          <w:highlight w:val="non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
        </w:rPr>
        <w:t>1.</w:t>
      </w:r>
      <w:r>
        <w:rPr>
          <w:rFonts w:hint="eastAsia" w:ascii="仿宋_GB2312" w:hAnsi="仿宋_GB2312" w:eastAsia="仿宋_GB2312" w:cs="仿宋_GB2312"/>
          <w:b w:val="0"/>
          <w:bCs w:val="0"/>
          <w:kern w:val="2"/>
          <w:sz w:val="32"/>
          <w:szCs w:val="32"/>
          <w:highlight w:val="none"/>
          <w:lang w:val="en-US" w:eastAsia="zh-CN" w:bidi="ar-SA"/>
        </w:rPr>
        <w:t>聚合范围。</w:t>
      </w:r>
      <w:r>
        <w:rPr>
          <w:rFonts w:hint="eastAsia" w:ascii="仿宋_GB2312" w:hAnsi="仿宋_GB2312" w:eastAsia="仿宋_GB2312" w:cs="仿宋_GB2312"/>
          <w:b w:val="0"/>
          <w:bCs w:val="0"/>
          <w:kern w:val="2"/>
          <w:sz w:val="32"/>
          <w:szCs w:val="22"/>
          <w:highlight w:val="none"/>
          <w:lang w:val="en-US" w:eastAsia="zh-CN" w:bidi="ar-SA"/>
        </w:rPr>
        <w:t>分布式新能源项目可自主选择</w:t>
      </w:r>
      <w:r>
        <w:rPr>
          <w:rFonts w:hint="eastAsia" w:ascii="仿宋_GB2312" w:hAnsi="仿宋_GB2312" w:eastAsia="仿宋_GB2312" w:cs="仿宋_GB2312"/>
          <w:b w:val="0"/>
          <w:bCs w:val="0"/>
          <w:kern w:val="2"/>
          <w:sz w:val="32"/>
          <w:szCs w:val="32"/>
          <w:highlight w:val="none"/>
          <w:lang w:val="en-US" w:eastAsia="zh-CN" w:bidi="ar-SA"/>
        </w:rPr>
        <w:t>负荷聚合商</w:t>
      </w:r>
      <w:r>
        <w:rPr>
          <w:rFonts w:hint="eastAsia" w:ascii="仿宋_GB2312" w:hAnsi="仿宋_GB2312" w:eastAsia="仿宋_GB2312" w:cs="仿宋_GB2312"/>
          <w:b w:val="0"/>
          <w:bCs w:val="0"/>
          <w:kern w:val="2"/>
          <w:sz w:val="32"/>
          <w:szCs w:val="22"/>
          <w:highlight w:val="none"/>
          <w:lang w:val="en-US" w:eastAsia="zh-CN" w:bidi="ar-SA"/>
        </w:rPr>
        <w:t>，负荷聚合商以现货市场出清节点为边界建立聚合单元，同一家负荷聚合商按其代理聚合范围可建立不同的聚合单元，并以聚合单元为单位参与市场交易，聚合单元内的聚合资源不超出同一现货出清节点。</w:t>
      </w:r>
    </w:p>
    <w:p w14:paraId="1EFF6DE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2.聚合代理。分布式新能源项目与</w:t>
      </w:r>
      <w:r>
        <w:rPr>
          <w:rFonts w:hint="eastAsia" w:ascii="仿宋_GB2312" w:hAnsi="仿宋_GB2312" w:eastAsia="仿宋_GB2312" w:cs="仿宋_GB2312"/>
          <w:b w:val="0"/>
          <w:bCs w:val="0"/>
          <w:color w:val="000000"/>
          <w:kern w:val="0"/>
          <w:sz w:val="32"/>
          <w:szCs w:val="32"/>
          <w:highlight w:val="none"/>
          <w:lang w:val="en-US" w:eastAsia="zh-CN" w:bidi="ar"/>
        </w:rPr>
        <w:t>负荷聚合商建立聚合</w:t>
      </w:r>
      <w:r>
        <w:rPr>
          <w:rFonts w:hint="eastAsia" w:ascii="仿宋_GB2312" w:hAnsi="仿宋_GB2312" w:eastAsia="仿宋_GB2312" w:cs="仿宋_GB2312"/>
          <w:b w:val="0"/>
          <w:bCs w:val="0"/>
          <w:kern w:val="2"/>
          <w:sz w:val="32"/>
          <w:szCs w:val="32"/>
          <w:highlight w:val="none"/>
          <w:lang w:val="en-US" w:eastAsia="zh-CN" w:bidi="ar-SA"/>
        </w:rPr>
        <w:t>关系</w:t>
      </w:r>
      <w:r>
        <w:rPr>
          <w:rFonts w:hint="eastAsia" w:ascii="仿宋_GB2312" w:hAnsi="仿宋_GB2312" w:eastAsia="仿宋_GB2312" w:cs="仿宋_GB2312"/>
          <w:b w:val="0"/>
          <w:bCs w:val="0"/>
          <w:color w:val="000000"/>
          <w:kern w:val="0"/>
          <w:sz w:val="32"/>
          <w:szCs w:val="32"/>
          <w:highlight w:val="none"/>
          <w:lang w:val="en-US" w:eastAsia="zh-CN" w:bidi="ar"/>
        </w:rPr>
        <w:t>时可参考合同模板（由交易机构另发）签订聚合代理合同。</w:t>
      </w:r>
    </w:p>
    <w:p w14:paraId="2BBB6DC5">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val="en-US" w:eastAsia="zh-CN"/>
        </w:rPr>
        <w:t>3.聚合方式。同一经营主体下的分布式新能源项目，在同一合同周期内仅可与一家负荷聚合商签订聚合代理合同，并通过交易平台建立聚合关系。</w:t>
      </w:r>
    </w:p>
    <w:p w14:paraId="73BB830F">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kern w:val="0"/>
          <w:sz w:val="32"/>
          <w:szCs w:val="32"/>
          <w:highlight w:val="none"/>
          <w:lang w:val="en-US" w:eastAsia="zh-CN"/>
        </w:rPr>
        <w:t>4.聚合套餐。</w:t>
      </w:r>
      <w:r>
        <w:rPr>
          <w:rFonts w:hint="eastAsia" w:ascii="仿宋_GB2312" w:hAnsi="仿宋_GB2312" w:eastAsia="仿宋_GB2312" w:cs="仿宋_GB2312"/>
          <w:b w:val="0"/>
          <w:bCs w:val="0"/>
          <w:color w:val="000000"/>
          <w:kern w:val="0"/>
          <w:sz w:val="32"/>
          <w:szCs w:val="32"/>
          <w:highlight w:val="none"/>
          <w:lang w:val="en-US" w:eastAsia="zh-CN" w:bidi="ar"/>
        </w:rPr>
        <w:t>交易机构结合市场实际研究制定聚合套餐，经市场管理委员会审议通过后，完善交易平台相关功能，并发布聚合套餐。后续根据市场运行实际、结合市场主体需求持续丰富聚合套餐。</w:t>
      </w:r>
    </w:p>
    <w:p w14:paraId="02151233">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val="en-US" w:eastAsia="zh-CN"/>
        </w:rPr>
        <w:t>5.聚合管理。分布式新能源项目与负荷聚合商的聚合</w:t>
      </w:r>
      <w:r>
        <w:rPr>
          <w:rFonts w:hint="eastAsia" w:ascii="仿宋_GB2312" w:hAnsi="仿宋_GB2312" w:eastAsia="仿宋_GB2312" w:cs="仿宋_GB2312"/>
          <w:b w:val="0"/>
          <w:bCs w:val="0"/>
          <w:color w:val="000000"/>
          <w:kern w:val="0"/>
          <w:sz w:val="32"/>
          <w:szCs w:val="32"/>
          <w:highlight w:val="none"/>
          <w:lang w:val="en-US" w:eastAsia="zh-CN"/>
        </w:rPr>
        <w:t>/</w:t>
      </w:r>
      <w:r>
        <w:rPr>
          <w:rFonts w:hint="eastAsia" w:ascii="仿宋_GB2312" w:hAnsi="仿宋_GB2312" w:eastAsia="仿宋_GB2312" w:cs="仿宋_GB2312"/>
          <w:b w:val="0"/>
          <w:bCs w:val="0"/>
          <w:color w:val="000000"/>
          <w:kern w:val="0"/>
          <w:sz w:val="32"/>
          <w:szCs w:val="32"/>
          <w:highlight w:val="none"/>
          <w:lang w:eastAsia="en-US"/>
        </w:rPr>
        <w:t>解除</w:t>
      </w:r>
      <w:r>
        <w:rPr>
          <w:rFonts w:hint="eastAsia" w:ascii="仿宋_GB2312" w:hAnsi="仿宋_GB2312" w:eastAsia="仿宋_GB2312" w:cs="仿宋_GB2312"/>
          <w:b w:val="0"/>
          <w:bCs w:val="0"/>
          <w:kern w:val="0"/>
          <w:sz w:val="32"/>
          <w:szCs w:val="32"/>
          <w:highlight w:val="none"/>
          <w:lang w:val="en-US" w:eastAsia="zh-CN"/>
        </w:rPr>
        <w:t>执行零售市场相关要求。</w:t>
      </w:r>
    </w:p>
    <w:p w14:paraId="6A1A8740">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val="en-US" w:eastAsia="zh-CN"/>
        </w:rPr>
        <w:t>6.履约凭证。负荷聚合商聚合分布式新能源项目参与交易前，暂按照《售电公司管理办法》（发改体改规〔2021〕1595号）要求，向交易机构提交履约保函（保险）。履约保函（保险）额度标准取以下最大值：</w:t>
      </w:r>
    </w:p>
    <w:p w14:paraId="4F293AA8">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kern w:val="0"/>
          <w:sz w:val="32"/>
          <w:szCs w:val="32"/>
          <w:highlight w:val="none"/>
          <w:lang w:eastAsia="en-US"/>
        </w:rPr>
      </w:pPr>
      <w:r>
        <w:rPr>
          <w:rFonts w:hint="eastAsia" w:ascii="仿宋_GB2312" w:hAnsi="仿宋_GB2312" w:eastAsia="仿宋_GB2312" w:cs="仿宋_GB2312"/>
          <w:b w:val="0"/>
          <w:bCs w:val="0"/>
          <w:color w:val="000000"/>
          <w:kern w:val="0"/>
          <w:sz w:val="32"/>
          <w:szCs w:val="32"/>
          <w:highlight w:val="none"/>
          <w:lang w:val="en-US" w:eastAsia="zh-CN" w:bidi="ar"/>
        </w:rPr>
        <w:t>（1）所代理分布式新能源项目过去12个月交易电量，按标准不低于0.8分/千瓦时。</w:t>
      </w:r>
    </w:p>
    <w:p w14:paraId="170C2693">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w:t>
      </w:r>
      <w:r>
        <w:rPr>
          <w:rFonts w:hint="eastAsia" w:ascii="仿宋_GB2312" w:hAnsi="仿宋_GB2312" w:eastAsia="仿宋_GB2312" w:cs="仿宋_GB2312"/>
          <w:color w:val="000000"/>
          <w:kern w:val="0"/>
          <w:sz w:val="32"/>
          <w:szCs w:val="32"/>
          <w:highlight w:val="none"/>
          <w:lang w:val="en-US" w:eastAsia="zh-CN" w:bidi="ar"/>
        </w:rPr>
        <w:t>所代理分布式新能源项目过去2个月交易电量，按标准不低于5分/千瓦时。</w:t>
      </w:r>
    </w:p>
    <w:p w14:paraId="7BFCDD4E">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负荷聚合商首次参与市场交易前，应根据预测交易规模做好履约额度测算。</w:t>
      </w:r>
    </w:p>
    <w:p w14:paraId="57FF96C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1"/>
        <w:rPr>
          <w:rFonts w:hint="eastAsia" w:ascii="黑体" w:hAnsi="黑体" w:eastAsia="黑体" w:cs="黑体"/>
          <w:b w:val="0"/>
          <w:bCs w:val="0"/>
          <w:kern w:val="2"/>
          <w:sz w:val="32"/>
          <w:szCs w:val="32"/>
          <w:highlight w:val="none"/>
          <w:lang w:val="en-US" w:eastAsia="zh-CN"/>
        </w:rPr>
      </w:pPr>
      <w:r>
        <w:rPr>
          <w:rFonts w:hint="eastAsia" w:ascii="黑体" w:hAnsi="黑体" w:eastAsia="黑体" w:cs="黑体"/>
          <w:b w:val="0"/>
          <w:bCs w:val="0"/>
          <w:kern w:val="2"/>
          <w:sz w:val="32"/>
          <w:szCs w:val="32"/>
          <w:highlight w:val="none"/>
          <w:lang w:val="en-US" w:eastAsia="zh-CN"/>
        </w:rPr>
        <w:t>五、计量和结算</w:t>
      </w:r>
    </w:p>
    <w:p w14:paraId="60524C6D">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1.电网企业应向电力交易平台推送直接或聚合参与市场交易的分布式新能源项目日清分及月度结算电量数据，确保计量数据完整、准确。</w:t>
      </w:r>
    </w:p>
    <w:p w14:paraId="36797379">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2.直接参与市场交易的分布式新能源项目和负荷聚合商按现行规则进行结算，通过聚合的分布式新能源项目按照聚合套餐结算。</w:t>
      </w:r>
    </w:p>
    <w:p w14:paraId="532A811B">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3.作为价格接受者参与市场交易的分布式新能源项目执行市场交易均价，由交易机构将市场交易均价推送至电网企业。在现货市场运行期间，市场交易均价为同类项目（初期项目类型分为风电、光伏）实时市场月度加权平均价格；非现货市场运行期间，市场交易均价为同类项目月度中长期交易加权平均价格。同类型分布式新能源发电项目市场交易均价按月在电力交易平台发布。</w:t>
      </w:r>
    </w:p>
    <w:p w14:paraId="27EA167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1"/>
        <w:rPr>
          <w:rFonts w:hint="eastAsia" w:ascii="黑体" w:hAnsi="黑体" w:eastAsia="黑体" w:cs="黑体"/>
          <w:b w:val="0"/>
          <w:bCs w:val="0"/>
          <w:kern w:val="2"/>
          <w:sz w:val="32"/>
          <w:szCs w:val="32"/>
          <w:highlight w:val="none"/>
          <w:lang w:val="en-US" w:eastAsia="zh-CN"/>
        </w:rPr>
      </w:pPr>
      <w:r>
        <w:rPr>
          <w:rFonts w:hint="eastAsia" w:ascii="黑体" w:hAnsi="黑体" w:eastAsia="黑体" w:cs="黑体"/>
          <w:b w:val="0"/>
          <w:bCs w:val="0"/>
          <w:kern w:val="2"/>
          <w:sz w:val="32"/>
          <w:szCs w:val="32"/>
          <w:highlight w:val="none"/>
          <w:lang w:val="en-US" w:eastAsia="zh-CN"/>
        </w:rPr>
        <w:t>六、相关要求</w:t>
      </w:r>
    </w:p>
    <w:p w14:paraId="30B5F2C4">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kern w:val="0"/>
          <w:sz w:val="32"/>
          <w:highlight w:val="none"/>
          <w:lang w:val="en-US" w:eastAsia="zh-CN"/>
        </w:rPr>
        <w:t>1.</w:t>
      </w:r>
      <w:r>
        <w:rPr>
          <w:rFonts w:hint="eastAsia" w:ascii="仿宋_GB2312" w:hAnsi="仿宋_GB2312" w:eastAsia="仿宋_GB2312" w:cs="仿宋_GB2312"/>
          <w:b w:val="0"/>
          <w:bCs w:val="0"/>
          <w:color w:val="000000"/>
          <w:kern w:val="0"/>
          <w:sz w:val="32"/>
          <w:szCs w:val="32"/>
          <w:highlight w:val="none"/>
          <w:lang w:val="en-US" w:eastAsia="zh-CN" w:bidi="ar"/>
        </w:rPr>
        <w:t>电网企业应将</w:t>
      </w:r>
      <w:r>
        <w:rPr>
          <w:rFonts w:hint="eastAsia" w:ascii="仿宋_GB2312" w:hAnsi="仿宋_GB2312" w:eastAsia="仿宋_GB2312" w:cs="仿宋_GB2312"/>
          <w:kern w:val="0"/>
          <w:sz w:val="32"/>
          <w:highlight w:val="none"/>
          <w:lang w:val="en-US" w:eastAsia="zh-CN"/>
        </w:rPr>
        <w:t>直接或聚合参与市场交易的分布式新能源项目</w:t>
      </w:r>
      <w:r>
        <w:rPr>
          <w:rFonts w:hint="eastAsia" w:ascii="仿宋_GB2312" w:hAnsi="仿宋_GB2312" w:eastAsia="仿宋_GB2312" w:cs="仿宋_GB2312"/>
          <w:b w:val="0"/>
          <w:bCs w:val="0"/>
          <w:color w:val="000000"/>
          <w:kern w:val="0"/>
          <w:sz w:val="32"/>
          <w:szCs w:val="32"/>
          <w:highlight w:val="none"/>
          <w:lang w:val="en-US" w:eastAsia="zh-CN" w:bidi="ar"/>
        </w:rPr>
        <w:t>所在现货市场节点信息、市场注册相关档案信息推送至电力交易平台。</w:t>
      </w:r>
    </w:p>
    <w:p w14:paraId="3A7FF86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auto"/>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w:t>
      </w:r>
      <w:r>
        <w:rPr>
          <w:rFonts w:hint="eastAsia" w:ascii="仿宋_GB2312" w:hAnsi="仿宋_GB2312" w:eastAsia="仿宋_GB2312" w:cs="仿宋_GB2312"/>
          <w:kern w:val="2"/>
          <w:sz w:val="32"/>
          <w:szCs w:val="22"/>
          <w:highlight w:val="none"/>
          <w:lang w:val="en-US" w:eastAsia="zh-CN" w:bidi="ar-SA"/>
        </w:rPr>
        <w:t>分布式新能源项目</w:t>
      </w:r>
      <w:r>
        <w:rPr>
          <w:rFonts w:hint="eastAsia" w:ascii="仿宋_GB2312" w:hAnsi="仿宋_GB2312" w:eastAsia="仿宋_GB2312" w:cs="仿宋_GB2312"/>
          <w:kern w:val="2"/>
          <w:sz w:val="32"/>
          <w:szCs w:val="32"/>
          <w:highlight w:val="none"/>
          <w:lang w:val="en-US" w:eastAsia="zh-CN" w:bidi="ar-SA"/>
        </w:rPr>
        <w:t>在国家能源局可再生能源管理平台完成建档立卡后可参与绿电交易。</w:t>
      </w:r>
    </w:p>
    <w:p w14:paraId="231CEDBD">
      <w:pPr>
        <w:keepNext w:val="0"/>
        <w:keepLines w:val="0"/>
        <w:pageBreakBefore w:val="0"/>
        <w:widowControl/>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kern w:val="0"/>
          <w:sz w:val="32"/>
          <w:highlight w:val="none"/>
          <w:lang w:val="en-US" w:eastAsia="zh-CN"/>
        </w:rPr>
        <w:t>3.本方案</w:t>
      </w:r>
      <w:r>
        <w:rPr>
          <w:rFonts w:hint="eastAsia" w:ascii="仿宋_GB2312" w:hAnsi="仿宋_GB2312" w:eastAsia="仿宋_GB2312" w:cs="仿宋_GB2312"/>
          <w:color w:val="000000"/>
          <w:kern w:val="0"/>
          <w:sz w:val="32"/>
          <w:szCs w:val="32"/>
          <w:highlight w:val="none"/>
          <w:lang w:val="en-US" w:eastAsia="zh-CN" w:bidi="ar"/>
        </w:rPr>
        <w:t>相关内容如遇国家或自治区政策调整，按最新政策执行。</w:t>
      </w:r>
    </w:p>
    <w:p w14:paraId="71FC584E">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kern w:val="2"/>
          <w:sz w:val="32"/>
          <w:szCs w:val="22"/>
          <w:highlight w:val="none"/>
          <w:lang w:val="en-US" w:eastAsia="zh-CN" w:bidi="ar-SA"/>
        </w:rPr>
      </w:pPr>
    </w:p>
    <w:p w14:paraId="60F63056">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firstLine="0" w:firstLineChars="0"/>
        <w:jc w:val="left"/>
        <w:textAlignment w:val="auto"/>
        <w:rPr>
          <w:rFonts w:hint="eastAsia" w:ascii="仿宋_GB2312" w:hAnsi="仿宋_GB2312" w:eastAsia="仿宋_GB2312" w:cs="仿宋_GB2312"/>
          <w:kern w:val="2"/>
          <w:sz w:val="21"/>
          <w:highlight w:val="none"/>
          <w:lang w:eastAsia="zh-CN"/>
        </w:rPr>
      </w:pPr>
      <w:r>
        <w:rPr>
          <w:rFonts w:hint="eastAsia" w:ascii="仿宋_GB2312" w:hAnsi="仿宋_GB2312" w:eastAsia="仿宋_GB2312" w:cs="仿宋_GB2312"/>
          <w:b w:val="0"/>
          <w:bCs w:val="0"/>
          <w:color w:val="000000"/>
          <w:kern w:val="0"/>
          <w:sz w:val="31"/>
          <w:szCs w:val="31"/>
          <w:highlight w:val="none"/>
          <w:lang w:val="en-US" w:eastAsia="zh-CN" w:bidi="ar"/>
        </w:rPr>
        <w:t>附件：</w:t>
      </w:r>
      <w:r>
        <w:rPr>
          <w:rFonts w:hint="eastAsia" w:ascii="仿宋_GB2312" w:hAnsi="仿宋_GB2312" w:eastAsia="仿宋_GB2312" w:cs="仿宋_GB2312"/>
          <w:color w:val="000000"/>
          <w:kern w:val="0"/>
          <w:sz w:val="31"/>
          <w:szCs w:val="31"/>
          <w:highlight w:val="none"/>
          <w:lang w:val="en-US" w:eastAsia="zh-CN" w:bidi="ar"/>
        </w:rPr>
        <w:t>1.</w:t>
      </w:r>
      <w:r>
        <w:rPr>
          <w:rFonts w:hint="eastAsia" w:ascii="仿宋_GB2312" w:hAnsi="仿宋_GB2312" w:eastAsia="仿宋_GB2312" w:cs="仿宋_GB2312"/>
          <w:color w:val="000000"/>
          <w:kern w:val="0"/>
          <w:sz w:val="32"/>
          <w:szCs w:val="32"/>
          <w:highlight w:val="none"/>
          <w:lang w:val="en-US" w:eastAsia="zh-CN" w:bidi="ar"/>
        </w:rPr>
        <w:t>分布式新能源项目聚合套餐一</w:t>
      </w:r>
      <w:r>
        <w:rPr>
          <w:rFonts w:hint="eastAsia" w:ascii="仿宋_GB2312" w:hAnsi="仿宋_GB2312" w:eastAsia="仿宋_GB2312" w:cs="仿宋_GB2312"/>
          <w:color w:val="000000"/>
          <w:kern w:val="0"/>
          <w:sz w:val="31"/>
          <w:szCs w:val="31"/>
          <w:highlight w:val="none"/>
          <w:lang w:val="en-US" w:eastAsia="zh-CN" w:bidi="ar"/>
        </w:rPr>
        <w:t xml:space="preserve"> </w:t>
      </w:r>
    </w:p>
    <w:p w14:paraId="1CFBE633">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firstLine="930" w:firstLineChars="3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2.</w:t>
      </w:r>
      <w:r>
        <w:rPr>
          <w:rFonts w:hint="eastAsia" w:ascii="仿宋_GB2312" w:hAnsi="仿宋_GB2312" w:eastAsia="仿宋_GB2312" w:cs="仿宋_GB2312"/>
          <w:color w:val="000000"/>
          <w:kern w:val="0"/>
          <w:sz w:val="32"/>
          <w:szCs w:val="32"/>
          <w:highlight w:val="none"/>
          <w:lang w:val="en-US" w:eastAsia="zh-CN" w:bidi="ar"/>
        </w:rPr>
        <w:t>分布式新能源项目聚合代理合同（模板）</w:t>
      </w:r>
      <w:r>
        <w:rPr>
          <w:rFonts w:hint="eastAsia" w:ascii="仿宋_GB2312" w:hAnsi="仿宋_GB2312" w:eastAsia="仿宋_GB2312" w:cs="仿宋_GB2312"/>
          <w:color w:val="000000"/>
          <w:kern w:val="0"/>
          <w:sz w:val="31"/>
          <w:szCs w:val="31"/>
          <w:highlight w:val="none"/>
          <w:lang w:val="en-US" w:eastAsia="zh-CN" w:bidi="ar"/>
        </w:rPr>
        <w:t xml:space="preserve"> </w:t>
      </w:r>
    </w:p>
    <w:p w14:paraId="5D7FF5BB">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firstLine="930" w:firstLineChars="300"/>
        <w:jc w:val="left"/>
        <w:textAlignment w:val="auto"/>
        <w:rPr>
          <w:rFonts w:hint="eastAsia" w:ascii="仿宋_GB2312" w:hAnsi="仿宋_GB2312" w:eastAsia="仿宋_GB2312" w:cs="仿宋_GB2312"/>
          <w:kern w:val="0"/>
          <w:sz w:val="32"/>
          <w:highlight w:val="none"/>
          <w:lang w:val="en-US" w:eastAsia="zh-CN"/>
        </w:rPr>
      </w:pPr>
      <w:r>
        <w:rPr>
          <w:rFonts w:hint="eastAsia" w:ascii="仿宋_GB2312" w:hAnsi="仿宋_GB2312" w:eastAsia="仿宋_GB2312" w:cs="仿宋_GB2312"/>
          <w:color w:val="000000"/>
          <w:kern w:val="0"/>
          <w:sz w:val="31"/>
          <w:szCs w:val="31"/>
          <w:highlight w:val="none"/>
          <w:lang w:val="en-US" w:eastAsia="zh-CN" w:bidi="ar"/>
        </w:rPr>
        <w:t>3.</w:t>
      </w:r>
      <w:r>
        <w:rPr>
          <w:rFonts w:hint="eastAsia" w:ascii="仿宋_GB2312" w:hAnsi="仿宋_GB2312" w:eastAsia="仿宋_GB2312" w:cs="仿宋_GB2312"/>
          <w:color w:val="000000"/>
          <w:kern w:val="0"/>
          <w:sz w:val="32"/>
          <w:szCs w:val="32"/>
          <w:highlight w:val="none"/>
          <w:lang w:eastAsia="zh-CN" w:bidi="ar"/>
        </w:rPr>
        <w:t>宁夏回族自治区电能计量数据校验拟合规则</w:t>
      </w:r>
    </w:p>
    <w:p w14:paraId="5E3D6216">
      <w:pPr>
        <w:ind w:firstLine="0" w:firstLineChars="0"/>
        <w:rPr>
          <w:rFonts w:hint="eastAsia"/>
          <w:highlight w:val="none"/>
          <w:lang w:val="en-US" w:eastAsia="zh-CN"/>
        </w:rPr>
        <w:sectPr>
          <w:footerReference r:id="rId5" w:type="default"/>
          <w:pgSz w:w="11906" w:h="16838"/>
          <w:pgMar w:top="1440" w:right="1587" w:bottom="1440" w:left="1587" w:header="851" w:footer="992" w:gutter="0"/>
          <w:pgNumType w:fmt="numberInDash" w:start="1"/>
          <w:cols w:space="0" w:num="1"/>
          <w:rtlGutter w:val="0"/>
          <w:docGrid w:type="lines" w:linePitch="436" w:charSpace="0"/>
        </w:sectPr>
      </w:pPr>
      <w:r>
        <w:rPr>
          <w:rFonts w:hint="eastAsia" w:ascii="仿宋_GB2312" w:hAnsi="仿宋_GB2312" w:eastAsia="仿宋_GB2312" w:cs="21"/>
          <w:kern w:val="0"/>
          <w:sz w:val="32"/>
          <w:highlight w:val="none"/>
          <w:lang w:val="en-US" w:eastAsia="zh-CN"/>
        </w:rPr>
        <w:t xml:space="preserve">       </w:t>
      </w:r>
    </w:p>
    <w:p w14:paraId="4035FFE2">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0" w:beforeLines="-2147483648" w:after="0" w:afterLines="-2147483648" w:line="540" w:lineRule="exact"/>
        <w:ind w:firstLine="0" w:firstLineChars="0"/>
        <w:jc w:val="both"/>
        <w:textAlignment w:val="baseline"/>
        <w:rPr>
          <w:rFonts w:hint="eastAsia" w:ascii="黑体" w:hAnsi="黑体" w:eastAsia="黑体" w:cs="黑体"/>
          <w:snapToGrid w:val="0"/>
          <w:color w:val="000000" w:themeColor="text1"/>
          <w:kern w:val="0"/>
          <w:sz w:val="30"/>
          <w:szCs w:val="30"/>
          <w:highlight w:val="none"/>
          <w:lang w:val="en-US" w:eastAsia="zh-CN"/>
          <w14:textFill>
            <w14:solidFill>
              <w14:schemeClr w14:val="tx1"/>
            </w14:solidFill>
          </w14:textFill>
        </w:rPr>
      </w:pPr>
      <w:r>
        <w:rPr>
          <w:rFonts w:hint="eastAsia" w:ascii="黑体" w:hAnsi="黑体" w:eastAsia="黑体" w:cs="黑体"/>
          <w:snapToGrid w:val="0"/>
          <w:color w:val="000000" w:themeColor="text1"/>
          <w:kern w:val="0"/>
          <w:sz w:val="30"/>
          <w:szCs w:val="30"/>
          <w:highlight w:val="none"/>
          <w:lang w:val="en-US" w:eastAsia="zh-CN"/>
          <w14:textFill>
            <w14:solidFill>
              <w14:schemeClr w14:val="tx1"/>
            </w14:solidFill>
          </w14:textFill>
        </w:rPr>
        <w:t>附件1</w:t>
      </w:r>
    </w:p>
    <w:p w14:paraId="45FA02C5">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rPr>
          <w:rFonts w:hint="eastAsia" w:ascii="方正小标宋_GBK" w:hAnsi="方正小标宋_GBK" w:eastAsia="方正小标宋_GBK" w:cs="方正小标宋_GBK"/>
          <w:b w:val="0"/>
          <w:bCs w:val="0"/>
          <w:color w:val="000000"/>
          <w:kern w:val="0"/>
          <w:sz w:val="44"/>
          <w:szCs w:val="44"/>
          <w:highlight w:val="none"/>
          <w:lang w:val="en-US" w:eastAsia="zh-CN" w:bidi="ar"/>
        </w:rPr>
      </w:pPr>
      <w:r>
        <w:rPr>
          <w:rFonts w:hint="eastAsia" w:ascii="方正小标宋_GBK" w:hAnsi="方正小标宋_GBK" w:eastAsia="方正小标宋_GBK" w:cs="方正小标宋_GBK"/>
          <w:b w:val="0"/>
          <w:bCs w:val="0"/>
          <w:color w:val="000000"/>
          <w:kern w:val="0"/>
          <w:sz w:val="44"/>
          <w:szCs w:val="44"/>
          <w:highlight w:val="none"/>
          <w:lang w:val="en-US" w:eastAsia="zh-CN" w:bidi="ar"/>
        </w:rPr>
        <w:t>分布式新能源项目聚合套餐一</w:t>
      </w:r>
    </w:p>
    <w:p w14:paraId="5A43ED7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after="0" w:afterLines="-2147483648" w:line="560" w:lineRule="exact"/>
        <w:ind w:firstLine="640" w:firstLineChars="200"/>
        <w:jc w:val="both"/>
        <w:textAlignment w:val="auto"/>
        <w:outlineLvl w:val="9"/>
        <w:rPr>
          <w:rFonts w:hint="eastAsia" w:ascii="方正仿宋_GBK" w:hAnsi="方正仿宋_GBK" w:eastAsia="方正仿宋_GBK" w:cs="方正仿宋_GBK"/>
          <w:kern w:val="2"/>
          <w:sz w:val="32"/>
          <w:szCs w:val="32"/>
          <w:highlight w:val="none"/>
          <w:lang w:eastAsia="zh-CN"/>
        </w:rPr>
      </w:pPr>
    </w:p>
    <w:p w14:paraId="08D39F9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after="0" w:afterLines="-2147483648" w:line="560" w:lineRule="exact"/>
        <w:ind w:firstLine="640" w:firstLineChars="200"/>
        <w:jc w:val="both"/>
        <w:textAlignment w:val="auto"/>
        <w:outlineLvl w:val="9"/>
        <w:rPr>
          <w:rFonts w:hint="eastAsia" w:ascii="仿宋_GB2312" w:hAnsi="仿宋_GB2312" w:eastAsia="仿宋_GB2312" w:cs="仿宋_GB2312"/>
          <w:b w:val="0"/>
          <w:bCs/>
          <w:kern w:val="2"/>
          <w:sz w:val="32"/>
          <w:szCs w:val="32"/>
          <w:highlight w:val="none"/>
          <w:lang w:val="en-US" w:eastAsia="zh-CN"/>
        </w:rPr>
      </w:pPr>
      <w:r>
        <w:rPr>
          <w:rFonts w:hint="eastAsia" w:ascii="仿宋_GB2312" w:hAnsi="仿宋_GB2312" w:eastAsia="仿宋_GB2312" w:cs="仿宋_GB2312"/>
          <w:kern w:val="2"/>
          <w:sz w:val="32"/>
          <w:szCs w:val="32"/>
          <w:highlight w:val="none"/>
          <w:lang w:eastAsia="zh-CN"/>
        </w:rPr>
        <w:t>负荷聚合商</w:t>
      </w:r>
      <w:r>
        <w:rPr>
          <w:rFonts w:hint="eastAsia" w:ascii="仿宋_GB2312" w:hAnsi="仿宋_GB2312" w:eastAsia="仿宋_GB2312" w:cs="仿宋_GB2312"/>
          <w:kern w:val="2"/>
          <w:sz w:val="32"/>
          <w:szCs w:val="32"/>
          <w:highlight w:val="none"/>
          <w:lang w:val="en-US" w:eastAsia="zh-CN"/>
        </w:rPr>
        <w:t>/虚拟电厂</w:t>
      </w:r>
      <w:r>
        <w:rPr>
          <w:rFonts w:hint="eastAsia" w:ascii="仿宋_GB2312" w:hAnsi="仿宋_GB2312" w:eastAsia="仿宋_GB2312" w:cs="仿宋_GB2312"/>
          <w:kern w:val="2"/>
          <w:sz w:val="32"/>
          <w:szCs w:val="32"/>
          <w:highlight w:val="none"/>
          <w:lang w:eastAsia="zh-CN"/>
        </w:rPr>
        <w:t>与分布式（</w:t>
      </w:r>
      <w:r>
        <w:rPr>
          <w:rFonts w:hint="eastAsia" w:ascii="仿宋_GB2312" w:hAnsi="仿宋_GB2312" w:eastAsia="仿宋_GB2312" w:cs="仿宋_GB2312"/>
          <w:kern w:val="2"/>
          <w:sz w:val="32"/>
          <w:szCs w:val="32"/>
          <w:highlight w:val="none"/>
          <w:lang w:val="en-US" w:eastAsia="zh-CN"/>
        </w:rPr>
        <w:t>分散式</w:t>
      </w:r>
      <w:r>
        <w:rPr>
          <w:rFonts w:hint="eastAsia" w:ascii="仿宋_GB2312" w:hAnsi="仿宋_GB2312" w:eastAsia="仿宋_GB2312" w:cs="仿宋_GB2312"/>
          <w:kern w:val="2"/>
          <w:sz w:val="32"/>
          <w:szCs w:val="32"/>
          <w:highlight w:val="none"/>
          <w:lang w:eastAsia="zh-CN"/>
        </w:rPr>
        <w:t>）新能源针对各时段电价进行约定，分布式新能源各时段电量按对应时段约定的电价进行结算。</w:t>
      </w:r>
      <w:r>
        <w:rPr>
          <w:rFonts w:hint="eastAsia" w:ascii="仿宋_GB2312" w:hAnsi="仿宋_GB2312" w:eastAsia="仿宋_GB2312" w:cs="仿宋_GB2312"/>
          <w:b w:val="0"/>
          <w:bCs/>
          <w:kern w:val="2"/>
          <w:sz w:val="32"/>
          <w:szCs w:val="32"/>
          <w:highlight w:val="none"/>
          <w:lang w:eastAsia="zh-CN"/>
        </w:rPr>
        <w:t>套餐样例</w:t>
      </w:r>
      <w:r>
        <w:rPr>
          <w:rFonts w:hint="eastAsia" w:ascii="仿宋_GB2312" w:hAnsi="仿宋_GB2312" w:eastAsia="仿宋_GB2312" w:cs="仿宋_GB2312"/>
          <w:b w:val="0"/>
          <w:bCs/>
          <w:kern w:val="2"/>
          <w:sz w:val="32"/>
          <w:szCs w:val="32"/>
          <w:highlight w:val="none"/>
          <w:lang w:val="en-US" w:eastAsia="zh-CN"/>
        </w:rPr>
        <w:t>如下：</w:t>
      </w:r>
    </w:p>
    <w:tbl>
      <w:tblPr>
        <w:tblStyle w:val="9"/>
        <w:tblW w:w="86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5"/>
        <w:gridCol w:w="2210"/>
        <w:gridCol w:w="2053"/>
        <w:gridCol w:w="2142"/>
      </w:tblGrid>
      <w:tr w14:paraId="53687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jc w:val="center"/>
        </w:trPr>
        <w:tc>
          <w:tcPr>
            <w:tcW w:w="2275" w:type="dxa"/>
            <w:tcBorders>
              <w:tl2br w:val="nil"/>
              <w:tr2bl w:val="nil"/>
            </w:tcBorders>
            <w:tcMar>
              <w:top w:w="15" w:type="dxa"/>
              <w:left w:w="15" w:type="dxa"/>
              <w:right w:w="15" w:type="dxa"/>
            </w:tcMar>
            <w:vAlign w:val="center"/>
          </w:tcPr>
          <w:p w14:paraId="0B7F1C54">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0"/>
                <w:sz w:val="18"/>
                <w:szCs w:val="18"/>
                <w:highlight w:val="none"/>
                <w:u w:val="none"/>
                <w:lang w:val="en-US" w:eastAsia="zh-CN" w:bidi="ar"/>
              </w:rPr>
            </w:pPr>
            <w:r>
              <w:rPr>
                <w:rFonts w:hint="eastAsia" w:ascii="仿宋_GB2312" w:hAnsi="仿宋_GB2312" w:eastAsia="仿宋_GB2312" w:cs="仿宋_GB2312"/>
                <w:b/>
                <w:i w:val="0"/>
                <w:color w:val="000000"/>
                <w:kern w:val="0"/>
                <w:sz w:val="18"/>
                <w:szCs w:val="18"/>
                <w:highlight w:val="none"/>
                <w:u w:val="none"/>
                <w:lang w:val="en-US" w:eastAsia="zh-CN" w:bidi="ar"/>
              </w:rPr>
              <w:t>有效期</w:t>
            </w:r>
          </w:p>
        </w:tc>
        <w:tc>
          <w:tcPr>
            <w:tcW w:w="2210" w:type="dxa"/>
            <w:tcBorders>
              <w:tl2br w:val="nil"/>
              <w:tr2bl w:val="nil"/>
            </w:tcBorders>
            <w:tcMar>
              <w:top w:w="15" w:type="dxa"/>
              <w:left w:w="15" w:type="dxa"/>
              <w:right w:w="15" w:type="dxa"/>
            </w:tcMar>
            <w:vAlign w:val="center"/>
          </w:tcPr>
          <w:p w14:paraId="0E750AD6">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0"/>
                <w:sz w:val="18"/>
                <w:szCs w:val="18"/>
                <w:highlight w:val="none"/>
                <w:u w:val="none"/>
                <w:lang w:val="en-US" w:eastAsia="zh-CN" w:bidi="ar"/>
              </w:rPr>
            </w:pPr>
            <w:r>
              <w:rPr>
                <w:rFonts w:hint="eastAsia" w:ascii="仿宋_GB2312" w:hAnsi="仿宋_GB2312" w:eastAsia="仿宋_GB2312" w:cs="仿宋_GB2312"/>
                <w:b/>
                <w:i w:val="0"/>
                <w:color w:val="000000"/>
                <w:kern w:val="0"/>
                <w:sz w:val="18"/>
                <w:szCs w:val="18"/>
                <w:highlight w:val="none"/>
                <w:u w:val="none"/>
                <w:lang w:val="en-US" w:eastAsia="zh-CN" w:bidi="ar"/>
              </w:rPr>
              <w:t>时段</w:t>
            </w:r>
          </w:p>
        </w:tc>
        <w:tc>
          <w:tcPr>
            <w:tcW w:w="2053" w:type="dxa"/>
            <w:tcBorders>
              <w:tl2br w:val="nil"/>
              <w:tr2bl w:val="nil"/>
            </w:tcBorders>
            <w:tcMar>
              <w:top w:w="15" w:type="dxa"/>
              <w:left w:w="15" w:type="dxa"/>
              <w:right w:w="15" w:type="dxa"/>
            </w:tcMar>
            <w:vAlign w:val="center"/>
          </w:tcPr>
          <w:p w14:paraId="200B21E9">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0"/>
                <w:sz w:val="18"/>
                <w:szCs w:val="18"/>
                <w:highlight w:val="none"/>
                <w:u w:val="none"/>
                <w:lang w:val="en-US" w:eastAsia="zh-CN" w:bidi="ar"/>
              </w:rPr>
            </w:pPr>
            <w:r>
              <w:rPr>
                <w:rFonts w:hint="eastAsia" w:ascii="仿宋_GB2312" w:hAnsi="仿宋_GB2312" w:eastAsia="仿宋_GB2312" w:cs="仿宋_GB2312"/>
                <w:b/>
                <w:i w:val="0"/>
                <w:color w:val="000000"/>
                <w:kern w:val="0"/>
                <w:sz w:val="18"/>
                <w:szCs w:val="18"/>
                <w:highlight w:val="none"/>
                <w:u w:val="none"/>
                <w:lang w:val="en-US" w:eastAsia="zh-CN" w:bidi="ar"/>
              </w:rPr>
              <w:t>推送电量（MWh）</w:t>
            </w:r>
          </w:p>
        </w:tc>
        <w:tc>
          <w:tcPr>
            <w:tcW w:w="2142" w:type="dxa"/>
            <w:tcBorders>
              <w:tl2br w:val="nil"/>
              <w:tr2bl w:val="nil"/>
            </w:tcBorders>
            <w:tcMar>
              <w:top w:w="15" w:type="dxa"/>
              <w:left w:w="15" w:type="dxa"/>
              <w:right w:w="15" w:type="dxa"/>
            </w:tcMar>
            <w:vAlign w:val="center"/>
          </w:tcPr>
          <w:p w14:paraId="70B8B49E">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0"/>
                <w:sz w:val="18"/>
                <w:szCs w:val="18"/>
                <w:highlight w:val="none"/>
                <w:u w:val="none"/>
                <w:lang w:val="en-US" w:eastAsia="zh-CN" w:bidi="ar"/>
              </w:rPr>
            </w:pPr>
            <w:r>
              <w:rPr>
                <w:rFonts w:hint="eastAsia" w:ascii="仿宋_GB2312" w:hAnsi="仿宋_GB2312" w:eastAsia="仿宋_GB2312" w:cs="仿宋_GB2312"/>
                <w:b/>
                <w:i w:val="0"/>
                <w:color w:val="000000"/>
                <w:kern w:val="0"/>
                <w:sz w:val="18"/>
                <w:szCs w:val="18"/>
                <w:highlight w:val="none"/>
                <w:u w:val="none"/>
                <w:lang w:val="en-US" w:eastAsia="zh-CN" w:bidi="ar"/>
              </w:rPr>
              <w:t>约定电价（元/MWh）</w:t>
            </w:r>
          </w:p>
        </w:tc>
      </w:tr>
      <w:tr w14:paraId="5F2A0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jc w:val="center"/>
        </w:trPr>
        <w:tc>
          <w:tcPr>
            <w:tcW w:w="2275" w:type="dxa"/>
            <w:vMerge w:val="restart"/>
            <w:tcBorders>
              <w:tl2br w:val="nil"/>
              <w:tr2bl w:val="nil"/>
            </w:tcBorders>
            <w:tcMar>
              <w:top w:w="15" w:type="dxa"/>
              <w:left w:w="15" w:type="dxa"/>
              <w:right w:w="15" w:type="dxa"/>
            </w:tcMar>
            <w:vAlign w:val="center"/>
          </w:tcPr>
          <w:p w14:paraId="17BAE42C">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r>
              <w:rPr>
                <w:rFonts w:hint="eastAsia" w:ascii="仿宋_GB2312" w:hAnsi="仿宋_GB2312" w:eastAsia="仿宋_GB2312" w:cs="仿宋_GB2312"/>
                <w:color w:val="000000"/>
                <w:kern w:val="0"/>
                <w:sz w:val="18"/>
                <w:szCs w:val="18"/>
                <w:highlight w:val="none"/>
                <w:lang w:eastAsia="zh-CN" w:bidi="ar"/>
              </w:rPr>
              <w:t>****年**月1日-****年**月31日</w:t>
            </w:r>
          </w:p>
        </w:tc>
        <w:tc>
          <w:tcPr>
            <w:tcW w:w="2210" w:type="dxa"/>
            <w:tcBorders>
              <w:tl2br w:val="nil"/>
              <w:tr2bl w:val="nil"/>
            </w:tcBorders>
            <w:tcMar>
              <w:top w:w="15" w:type="dxa"/>
              <w:left w:w="15" w:type="dxa"/>
              <w:right w:w="15" w:type="dxa"/>
            </w:tcMar>
            <w:vAlign w:val="center"/>
          </w:tcPr>
          <w:p w14:paraId="7A4FA731">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r>
              <w:rPr>
                <w:rFonts w:hint="eastAsia" w:ascii="仿宋_GB2312" w:hAnsi="仿宋_GB2312" w:eastAsia="仿宋_GB2312" w:cs="仿宋_GB2312"/>
                <w:color w:val="000000"/>
                <w:kern w:val="0"/>
                <w:sz w:val="18"/>
                <w:szCs w:val="18"/>
                <w:highlight w:val="none"/>
                <w:lang w:eastAsia="zh-CN" w:bidi="ar"/>
              </w:rPr>
              <w:t>0:00-1:00</w:t>
            </w:r>
          </w:p>
        </w:tc>
        <w:tc>
          <w:tcPr>
            <w:tcW w:w="2053" w:type="dxa"/>
            <w:tcBorders>
              <w:tl2br w:val="nil"/>
              <w:tr2bl w:val="nil"/>
            </w:tcBorders>
            <w:tcMar>
              <w:top w:w="15" w:type="dxa"/>
              <w:left w:w="15" w:type="dxa"/>
              <w:right w:w="15" w:type="dxa"/>
            </w:tcMar>
            <w:vAlign w:val="center"/>
          </w:tcPr>
          <w:p w14:paraId="47966C37">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kern w:val="2"/>
                <w:sz w:val="18"/>
                <w:szCs w:val="18"/>
                <w:highlight w:val="none"/>
                <w:lang w:eastAsia="zh-CN"/>
              </w:rPr>
            </w:pPr>
          </w:p>
        </w:tc>
        <w:tc>
          <w:tcPr>
            <w:tcW w:w="2142" w:type="dxa"/>
            <w:tcBorders>
              <w:tl2br w:val="nil"/>
              <w:tr2bl w:val="nil"/>
            </w:tcBorders>
            <w:tcMar>
              <w:top w:w="15" w:type="dxa"/>
              <w:left w:w="15" w:type="dxa"/>
              <w:right w:w="15" w:type="dxa"/>
            </w:tcMar>
            <w:vAlign w:val="center"/>
          </w:tcPr>
          <w:p w14:paraId="1DD7B7B3">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p>
        </w:tc>
      </w:tr>
      <w:tr w14:paraId="00F9C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jc w:val="center"/>
        </w:trPr>
        <w:tc>
          <w:tcPr>
            <w:tcW w:w="2275" w:type="dxa"/>
            <w:vMerge w:val="continue"/>
            <w:tcBorders>
              <w:tl2br w:val="nil"/>
              <w:tr2bl w:val="nil"/>
            </w:tcBorders>
            <w:tcMar>
              <w:top w:w="15" w:type="dxa"/>
              <w:left w:w="15" w:type="dxa"/>
              <w:right w:w="15" w:type="dxa"/>
            </w:tcMar>
            <w:vAlign w:val="center"/>
          </w:tcPr>
          <w:p w14:paraId="42645BE1">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18"/>
                <w:szCs w:val="18"/>
                <w:highlight w:val="none"/>
                <w:lang w:eastAsia="zh-CN" w:bidi="ar"/>
              </w:rPr>
            </w:pPr>
          </w:p>
        </w:tc>
        <w:tc>
          <w:tcPr>
            <w:tcW w:w="2210" w:type="dxa"/>
            <w:tcBorders>
              <w:tl2br w:val="nil"/>
              <w:tr2bl w:val="nil"/>
            </w:tcBorders>
            <w:tcMar>
              <w:top w:w="15" w:type="dxa"/>
              <w:left w:w="15" w:type="dxa"/>
              <w:right w:w="15" w:type="dxa"/>
            </w:tcMar>
            <w:vAlign w:val="center"/>
          </w:tcPr>
          <w:p w14:paraId="50D85944">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18"/>
                <w:szCs w:val="18"/>
                <w:highlight w:val="none"/>
                <w:lang w:eastAsia="zh-CN" w:bidi="ar"/>
              </w:rPr>
            </w:pPr>
            <w:r>
              <w:rPr>
                <w:rFonts w:hint="eastAsia" w:ascii="仿宋_GB2312" w:hAnsi="仿宋_GB2312" w:eastAsia="仿宋_GB2312" w:cs="仿宋_GB2312"/>
                <w:color w:val="000000"/>
                <w:kern w:val="0"/>
                <w:sz w:val="18"/>
                <w:szCs w:val="18"/>
                <w:highlight w:val="none"/>
                <w:lang w:eastAsia="zh-CN" w:bidi="ar"/>
              </w:rPr>
              <w:t>1:00-2:00</w:t>
            </w:r>
          </w:p>
        </w:tc>
        <w:tc>
          <w:tcPr>
            <w:tcW w:w="2053" w:type="dxa"/>
            <w:tcBorders>
              <w:tl2br w:val="nil"/>
              <w:tr2bl w:val="nil"/>
            </w:tcBorders>
            <w:tcMar>
              <w:top w:w="15" w:type="dxa"/>
              <w:left w:w="15" w:type="dxa"/>
              <w:right w:w="15" w:type="dxa"/>
            </w:tcMar>
            <w:vAlign w:val="center"/>
          </w:tcPr>
          <w:p w14:paraId="069F227C">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kern w:val="2"/>
                <w:sz w:val="18"/>
                <w:szCs w:val="18"/>
                <w:highlight w:val="none"/>
                <w:lang w:eastAsia="zh-CN"/>
              </w:rPr>
            </w:pPr>
          </w:p>
        </w:tc>
        <w:tc>
          <w:tcPr>
            <w:tcW w:w="2142" w:type="dxa"/>
            <w:tcBorders>
              <w:tl2br w:val="nil"/>
              <w:tr2bl w:val="nil"/>
            </w:tcBorders>
            <w:tcMar>
              <w:top w:w="15" w:type="dxa"/>
              <w:left w:w="15" w:type="dxa"/>
              <w:right w:w="15" w:type="dxa"/>
            </w:tcMar>
            <w:vAlign w:val="center"/>
          </w:tcPr>
          <w:p w14:paraId="5266BFAE">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18"/>
                <w:szCs w:val="18"/>
                <w:highlight w:val="none"/>
                <w:lang w:eastAsia="zh-CN" w:bidi="ar"/>
              </w:rPr>
            </w:pPr>
          </w:p>
        </w:tc>
      </w:tr>
      <w:tr w14:paraId="0E976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jc w:val="center"/>
        </w:trPr>
        <w:tc>
          <w:tcPr>
            <w:tcW w:w="2275" w:type="dxa"/>
            <w:vMerge w:val="continue"/>
            <w:tcBorders>
              <w:tl2br w:val="nil"/>
              <w:tr2bl w:val="nil"/>
            </w:tcBorders>
            <w:tcMar>
              <w:top w:w="15" w:type="dxa"/>
              <w:left w:w="15" w:type="dxa"/>
              <w:right w:w="15" w:type="dxa"/>
            </w:tcMar>
            <w:vAlign w:val="center"/>
          </w:tcPr>
          <w:p w14:paraId="7C17C602">
            <w:pPr>
              <w:keepNext w:val="0"/>
              <w:keepLines w:val="0"/>
              <w:pageBreakBefore w:val="0"/>
              <w:widowControl w:val="0"/>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outlineLvl w:val="9"/>
              <w:rPr>
                <w:rFonts w:hint="eastAsia" w:ascii="仿宋_GB2312" w:hAnsi="仿宋_GB2312" w:eastAsia="仿宋_GB2312" w:cs="仿宋_GB2312"/>
                <w:color w:val="000000"/>
                <w:kern w:val="2"/>
                <w:sz w:val="18"/>
                <w:szCs w:val="18"/>
                <w:highlight w:val="none"/>
                <w:lang w:eastAsia="zh-CN"/>
              </w:rPr>
            </w:pPr>
          </w:p>
        </w:tc>
        <w:tc>
          <w:tcPr>
            <w:tcW w:w="2210" w:type="dxa"/>
            <w:tcBorders>
              <w:tl2br w:val="nil"/>
              <w:tr2bl w:val="nil"/>
            </w:tcBorders>
            <w:tcMar>
              <w:top w:w="15" w:type="dxa"/>
              <w:left w:w="15" w:type="dxa"/>
              <w:right w:w="15" w:type="dxa"/>
            </w:tcMar>
            <w:vAlign w:val="center"/>
          </w:tcPr>
          <w:p w14:paraId="3716A988">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r>
              <w:rPr>
                <w:rFonts w:hint="eastAsia" w:ascii="仿宋_GB2312" w:hAnsi="仿宋_GB2312" w:eastAsia="仿宋_GB2312" w:cs="仿宋_GB2312"/>
                <w:color w:val="000000"/>
                <w:kern w:val="0"/>
                <w:sz w:val="18"/>
                <w:szCs w:val="18"/>
                <w:highlight w:val="none"/>
                <w:lang w:eastAsia="zh-CN" w:bidi="ar"/>
              </w:rPr>
              <w:t>2:00-3:00</w:t>
            </w:r>
          </w:p>
        </w:tc>
        <w:tc>
          <w:tcPr>
            <w:tcW w:w="2053" w:type="dxa"/>
            <w:tcBorders>
              <w:tl2br w:val="nil"/>
              <w:tr2bl w:val="nil"/>
            </w:tcBorders>
            <w:tcMar>
              <w:top w:w="15" w:type="dxa"/>
              <w:left w:w="15" w:type="dxa"/>
              <w:right w:w="15" w:type="dxa"/>
            </w:tcMar>
            <w:vAlign w:val="center"/>
          </w:tcPr>
          <w:p w14:paraId="01CEFBF2">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kern w:val="2"/>
                <w:sz w:val="18"/>
                <w:szCs w:val="18"/>
                <w:highlight w:val="none"/>
                <w:lang w:eastAsia="zh-CN"/>
              </w:rPr>
            </w:pPr>
          </w:p>
        </w:tc>
        <w:tc>
          <w:tcPr>
            <w:tcW w:w="2142" w:type="dxa"/>
            <w:tcBorders>
              <w:tl2br w:val="nil"/>
              <w:tr2bl w:val="nil"/>
            </w:tcBorders>
            <w:tcMar>
              <w:top w:w="15" w:type="dxa"/>
              <w:left w:w="15" w:type="dxa"/>
              <w:right w:w="15" w:type="dxa"/>
            </w:tcMar>
            <w:vAlign w:val="center"/>
          </w:tcPr>
          <w:p w14:paraId="3F63DC1E">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p>
        </w:tc>
      </w:tr>
      <w:tr w14:paraId="331E3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jc w:val="center"/>
        </w:trPr>
        <w:tc>
          <w:tcPr>
            <w:tcW w:w="2275" w:type="dxa"/>
            <w:vMerge w:val="continue"/>
            <w:tcBorders>
              <w:tl2br w:val="nil"/>
              <w:tr2bl w:val="nil"/>
            </w:tcBorders>
            <w:tcMar>
              <w:top w:w="15" w:type="dxa"/>
              <w:left w:w="15" w:type="dxa"/>
              <w:right w:w="15" w:type="dxa"/>
            </w:tcMar>
            <w:vAlign w:val="center"/>
          </w:tcPr>
          <w:p w14:paraId="65C28EE3">
            <w:pPr>
              <w:keepNext w:val="0"/>
              <w:keepLines w:val="0"/>
              <w:pageBreakBefore w:val="0"/>
              <w:widowControl w:val="0"/>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outlineLvl w:val="9"/>
              <w:rPr>
                <w:rFonts w:hint="eastAsia" w:ascii="仿宋_GB2312" w:hAnsi="仿宋_GB2312" w:eastAsia="仿宋_GB2312" w:cs="仿宋_GB2312"/>
                <w:color w:val="000000"/>
                <w:kern w:val="2"/>
                <w:sz w:val="18"/>
                <w:szCs w:val="18"/>
                <w:highlight w:val="none"/>
                <w:lang w:eastAsia="zh-CN"/>
              </w:rPr>
            </w:pPr>
          </w:p>
        </w:tc>
        <w:tc>
          <w:tcPr>
            <w:tcW w:w="2210" w:type="dxa"/>
            <w:tcBorders>
              <w:tl2br w:val="nil"/>
              <w:tr2bl w:val="nil"/>
            </w:tcBorders>
            <w:tcMar>
              <w:top w:w="15" w:type="dxa"/>
              <w:left w:w="15" w:type="dxa"/>
              <w:right w:w="15" w:type="dxa"/>
            </w:tcMar>
            <w:vAlign w:val="center"/>
          </w:tcPr>
          <w:p w14:paraId="48CFF4BB">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r>
              <w:rPr>
                <w:rFonts w:hint="eastAsia" w:ascii="仿宋_GB2312" w:hAnsi="仿宋_GB2312" w:eastAsia="仿宋_GB2312" w:cs="仿宋_GB2312"/>
                <w:color w:val="000000"/>
                <w:kern w:val="0"/>
                <w:sz w:val="18"/>
                <w:szCs w:val="18"/>
                <w:highlight w:val="none"/>
                <w:lang w:eastAsia="zh-CN" w:bidi="ar"/>
              </w:rPr>
              <w:t>3:00-4:00</w:t>
            </w:r>
          </w:p>
        </w:tc>
        <w:tc>
          <w:tcPr>
            <w:tcW w:w="2053" w:type="dxa"/>
            <w:tcBorders>
              <w:tl2br w:val="nil"/>
              <w:tr2bl w:val="nil"/>
            </w:tcBorders>
            <w:tcMar>
              <w:top w:w="15" w:type="dxa"/>
              <w:left w:w="15" w:type="dxa"/>
              <w:right w:w="15" w:type="dxa"/>
            </w:tcMar>
            <w:vAlign w:val="center"/>
          </w:tcPr>
          <w:p w14:paraId="54141071">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kern w:val="2"/>
                <w:sz w:val="18"/>
                <w:szCs w:val="18"/>
                <w:highlight w:val="none"/>
                <w:lang w:eastAsia="zh-CN"/>
              </w:rPr>
            </w:pPr>
          </w:p>
        </w:tc>
        <w:tc>
          <w:tcPr>
            <w:tcW w:w="2142" w:type="dxa"/>
            <w:tcBorders>
              <w:tl2br w:val="nil"/>
              <w:tr2bl w:val="nil"/>
            </w:tcBorders>
            <w:tcMar>
              <w:top w:w="15" w:type="dxa"/>
              <w:left w:w="15" w:type="dxa"/>
              <w:right w:w="15" w:type="dxa"/>
            </w:tcMar>
            <w:vAlign w:val="center"/>
          </w:tcPr>
          <w:p w14:paraId="30EC5002">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p>
        </w:tc>
      </w:tr>
      <w:tr w14:paraId="0CBED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jc w:val="center"/>
        </w:trPr>
        <w:tc>
          <w:tcPr>
            <w:tcW w:w="2275" w:type="dxa"/>
            <w:vMerge w:val="continue"/>
            <w:tcBorders>
              <w:tl2br w:val="nil"/>
              <w:tr2bl w:val="nil"/>
            </w:tcBorders>
            <w:tcMar>
              <w:top w:w="15" w:type="dxa"/>
              <w:left w:w="15" w:type="dxa"/>
              <w:right w:w="15" w:type="dxa"/>
            </w:tcMar>
            <w:vAlign w:val="center"/>
          </w:tcPr>
          <w:p w14:paraId="503F16A4">
            <w:pPr>
              <w:keepNext w:val="0"/>
              <w:keepLines w:val="0"/>
              <w:pageBreakBefore w:val="0"/>
              <w:widowControl w:val="0"/>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outlineLvl w:val="9"/>
              <w:rPr>
                <w:rFonts w:hint="eastAsia" w:ascii="仿宋_GB2312" w:hAnsi="仿宋_GB2312" w:eastAsia="仿宋_GB2312" w:cs="仿宋_GB2312"/>
                <w:color w:val="000000"/>
                <w:kern w:val="2"/>
                <w:sz w:val="18"/>
                <w:szCs w:val="18"/>
                <w:highlight w:val="none"/>
                <w:lang w:eastAsia="zh-CN"/>
              </w:rPr>
            </w:pPr>
          </w:p>
        </w:tc>
        <w:tc>
          <w:tcPr>
            <w:tcW w:w="2210" w:type="dxa"/>
            <w:tcBorders>
              <w:tl2br w:val="nil"/>
              <w:tr2bl w:val="nil"/>
            </w:tcBorders>
            <w:tcMar>
              <w:top w:w="15" w:type="dxa"/>
              <w:left w:w="15" w:type="dxa"/>
              <w:right w:w="15" w:type="dxa"/>
            </w:tcMar>
            <w:vAlign w:val="center"/>
          </w:tcPr>
          <w:p w14:paraId="6F7BDC51">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r>
              <w:rPr>
                <w:rFonts w:hint="eastAsia" w:ascii="仿宋_GB2312" w:hAnsi="仿宋_GB2312" w:eastAsia="仿宋_GB2312" w:cs="仿宋_GB2312"/>
                <w:color w:val="000000"/>
                <w:kern w:val="0"/>
                <w:sz w:val="18"/>
                <w:szCs w:val="18"/>
                <w:highlight w:val="none"/>
                <w:lang w:eastAsia="zh-CN" w:bidi="ar"/>
              </w:rPr>
              <w:t>4:00-5:00</w:t>
            </w:r>
          </w:p>
        </w:tc>
        <w:tc>
          <w:tcPr>
            <w:tcW w:w="2053" w:type="dxa"/>
            <w:tcBorders>
              <w:tl2br w:val="nil"/>
              <w:tr2bl w:val="nil"/>
            </w:tcBorders>
            <w:tcMar>
              <w:top w:w="15" w:type="dxa"/>
              <w:left w:w="15" w:type="dxa"/>
              <w:right w:w="15" w:type="dxa"/>
            </w:tcMar>
            <w:vAlign w:val="center"/>
          </w:tcPr>
          <w:p w14:paraId="4FC18910">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kern w:val="2"/>
                <w:sz w:val="18"/>
                <w:szCs w:val="18"/>
                <w:highlight w:val="none"/>
                <w:lang w:eastAsia="zh-CN"/>
              </w:rPr>
            </w:pPr>
          </w:p>
        </w:tc>
        <w:tc>
          <w:tcPr>
            <w:tcW w:w="2142" w:type="dxa"/>
            <w:tcBorders>
              <w:tl2br w:val="nil"/>
              <w:tr2bl w:val="nil"/>
            </w:tcBorders>
            <w:tcMar>
              <w:top w:w="15" w:type="dxa"/>
              <w:left w:w="15" w:type="dxa"/>
              <w:right w:w="15" w:type="dxa"/>
            </w:tcMar>
            <w:vAlign w:val="center"/>
          </w:tcPr>
          <w:p w14:paraId="777F6F67">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p>
        </w:tc>
      </w:tr>
      <w:tr w14:paraId="33618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jc w:val="center"/>
        </w:trPr>
        <w:tc>
          <w:tcPr>
            <w:tcW w:w="2275" w:type="dxa"/>
            <w:vMerge w:val="continue"/>
            <w:tcBorders>
              <w:tl2br w:val="nil"/>
              <w:tr2bl w:val="nil"/>
            </w:tcBorders>
            <w:tcMar>
              <w:top w:w="15" w:type="dxa"/>
              <w:left w:w="15" w:type="dxa"/>
              <w:right w:w="15" w:type="dxa"/>
            </w:tcMar>
            <w:vAlign w:val="center"/>
          </w:tcPr>
          <w:p w14:paraId="400CE767">
            <w:pPr>
              <w:keepNext w:val="0"/>
              <w:keepLines w:val="0"/>
              <w:pageBreakBefore w:val="0"/>
              <w:widowControl w:val="0"/>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outlineLvl w:val="9"/>
              <w:rPr>
                <w:rFonts w:hint="eastAsia" w:ascii="仿宋_GB2312" w:hAnsi="仿宋_GB2312" w:eastAsia="仿宋_GB2312" w:cs="仿宋_GB2312"/>
                <w:color w:val="000000"/>
                <w:kern w:val="2"/>
                <w:sz w:val="18"/>
                <w:szCs w:val="18"/>
                <w:highlight w:val="none"/>
                <w:lang w:eastAsia="zh-CN"/>
              </w:rPr>
            </w:pPr>
          </w:p>
        </w:tc>
        <w:tc>
          <w:tcPr>
            <w:tcW w:w="2210" w:type="dxa"/>
            <w:tcBorders>
              <w:tl2br w:val="nil"/>
              <w:tr2bl w:val="nil"/>
            </w:tcBorders>
            <w:tcMar>
              <w:top w:w="15" w:type="dxa"/>
              <w:left w:w="15" w:type="dxa"/>
              <w:right w:w="15" w:type="dxa"/>
            </w:tcMar>
            <w:vAlign w:val="center"/>
          </w:tcPr>
          <w:p w14:paraId="48811D84">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r>
              <w:rPr>
                <w:rFonts w:hint="eastAsia" w:ascii="仿宋_GB2312" w:hAnsi="仿宋_GB2312" w:eastAsia="仿宋_GB2312" w:cs="仿宋_GB2312"/>
                <w:color w:val="000000"/>
                <w:kern w:val="0"/>
                <w:sz w:val="18"/>
                <w:szCs w:val="18"/>
                <w:highlight w:val="none"/>
                <w:lang w:eastAsia="zh-CN" w:bidi="ar"/>
              </w:rPr>
              <w:t>5:00-6:00</w:t>
            </w:r>
          </w:p>
        </w:tc>
        <w:tc>
          <w:tcPr>
            <w:tcW w:w="2053" w:type="dxa"/>
            <w:tcBorders>
              <w:tl2br w:val="nil"/>
              <w:tr2bl w:val="nil"/>
            </w:tcBorders>
            <w:tcMar>
              <w:top w:w="15" w:type="dxa"/>
              <w:left w:w="15" w:type="dxa"/>
              <w:right w:w="15" w:type="dxa"/>
            </w:tcMar>
            <w:vAlign w:val="center"/>
          </w:tcPr>
          <w:p w14:paraId="0F56FFF2">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kern w:val="2"/>
                <w:sz w:val="18"/>
                <w:szCs w:val="18"/>
                <w:highlight w:val="none"/>
                <w:lang w:eastAsia="zh-CN"/>
              </w:rPr>
            </w:pPr>
          </w:p>
        </w:tc>
        <w:tc>
          <w:tcPr>
            <w:tcW w:w="2142" w:type="dxa"/>
            <w:tcBorders>
              <w:tl2br w:val="nil"/>
              <w:tr2bl w:val="nil"/>
            </w:tcBorders>
            <w:tcMar>
              <w:top w:w="15" w:type="dxa"/>
              <w:left w:w="15" w:type="dxa"/>
              <w:right w:w="15" w:type="dxa"/>
            </w:tcMar>
            <w:vAlign w:val="center"/>
          </w:tcPr>
          <w:p w14:paraId="5A058882">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p>
        </w:tc>
      </w:tr>
      <w:tr w14:paraId="70FCC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jc w:val="center"/>
        </w:trPr>
        <w:tc>
          <w:tcPr>
            <w:tcW w:w="2275" w:type="dxa"/>
            <w:vMerge w:val="continue"/>
            <w:tcBorders>
              <w:tl2br w:val="nil"/>
              <w:tr2bl w:val="nil"/>
            </w:tcBorders>
            <w:tcMar>
              <w:top w:w="15" w:type="dxa"/>
              <w:left w:w="15" w:type="dxa"/>
              <w:right w:w="15" w:type="dxa"/>
            </w:tcMar>
            <w:vAlign w:val="center"/>
          </w:tcPr>
          <w:p w14:paraId="477B994D">
            <w:pPr>
              <w:keepNext w:val="0"/>
              <w:keepLines w:val="0"/>
              <w:pageBreakBefore w:val="0"/>
              <w:widowControl w:val="0"/>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outlineLvl w:val="9"/>
              <w:rPr>
                <w:rFonts w:hint="eastAsia" w:ascii="仿宋_GB2312" w:hAnsi="仿宋_GB2312" w:eastAsia="仿宋_GB2312" w:cs="仿宋_GB2312"/>
                <w:color w:val="000000"/>
                <w:kern w:val="2"/>
                <w:sz w:val="18"/>
                <w:szCs w:val="18"/>
                <w:highlight w:val="none"/>
                <w:lang w:eastAsia="zh-CN"/>
              </w:rPr>
            </w:pPr>
          </w:p>
        </w:tc>
        <w:tc>
          <w:tcPr>
            <w:tcW w:w="2210" w:type="dxa"/>
            <w:tcBorders>
              <w:tl2br w:val="nil"/>
              <w:tr2bl w:val="nil"/>
            </w:tcBorders>
            <w:tcMar>
              <w:top w:w="15" w:type="dxa"/>
              <w:left w:w="15" w:type="dxa"/>
              <w:right w:w="15" w:type="dxa"/>
            </w:tcMar>
            <w:vAlign w:val="center"/>
          </w:tcPr>
          <w:p w14:paraId="2C2BA827">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r>
              <w:rPr>
                <w:rFonts w:hint="eastAsia" w:ascii="仿宋_GB2312" w:hAnsi="仿宋_GB2312" w:eastAsia="仿宋_GB2312" w:cs="仿宋_GB2312"/>
                <w:color w:val="000000"/>
                <w:kern w:val="0"/>
                <w:sz w:val="18"/>
                <w:szCs w:val="18"/>
                <w:highlight w:val="none"/>
                <w:lang w:eastAsia="zh-CN" w:bidi="ar"/>
              </w:rPr>
              <w:t>6:00-7:00</w:t>
            </w:r>
          </w:p>
        </w:tc>
        <w:tc>
          <w:tcPr>
            <w:tcW w:w="2053" w:type="dxa"/>
            <w:tcBorders>
              <w:tl2br w:val="nil"/>
              <w:tr2bl w:val="nil"/>
            </w:tcBorders>
            <w:tcMar>
              <w:top w:w="15" w:type="dxa"/>
              <w:left w:w="15" w:type="dxa"/>
              <w:right w:w="15" w:type="dxa"/>
            </w:tcMar>
            <w:vAlign w:val="center"/>
          </w:tcPr>
          <w:p w14:paraId="15DDF859">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kern w:val="2"/>
                <w:sz w:val="18"/>
                <w:szCs w:val="18"/>
                <w:highlight w:val="none"/>
                <w:lang w:eastAsia="zh-CN"/>
              </w:rPr>
            </w:pPr>
          </w:p>
        </w:tc>
        <w:tc>
          <w:tcPr>
            <w:tcW w:w="2142" w:type="dxa"/>
            <w:tcBorders>
              <w:tl2br w:val="nil"/>
              <w:tr2bl w:val="nil"/>
            </w:tcBorders>
            <w:tcMar>
              <w:top w:w="15" w:type="dxa"/>
              <w:left w:w="15" w:type="dxa"/>
              <w:right w:w="15" w:type="dxa"/>
            </w:tcMar>
            <w:vAlign w:val="center"/>
          </w:tcPr>
          <w:p w14:paraId="626EA123">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p>
        </w:tc>
      </w:tr>
      <w:tr w14:paraId="74D29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jc w:val="center"/>
        </w:trPr>
        <w:tc>
          <w:tcPr>
            <w:tcW w:w="2275" w:type="dxa"/>
            <w:vMerge w:val="continue"/>
            <w:tcBorders>
              <w:tl2br w:val="nil"/>
              <w:tr2bl w:val="nil"/>
            </w:tcBorders>
            <w:tcMar>
              <w:top w:w="15" w:type="dxa"/>
              <w:left w:w="15" w:type="dxa"/>
              <w:right w:w="15" w:type="dxa"/>
            </w:tcMar>
            <w:vAlign w:val="center"/>
          </w:tcPr>
          <w:p w14:paraId="3A58963B">
            <w:pPr>
              <w:keepNext w:val="0"/>
              <w:keepLines w:val="0"/>
              <w:pageBreakBefore w:val="0"/>
              <w:widowControl w:val="0"/>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outlineLvl w:val="9"/>
              <w:rPr>
                <w:rFonts w:hint="eastAsia" w:ascii="仿宋_GB2312" w:hAnsi="仿宋_GB2312" w:eastAsia="仿宋_GB2312" w:cs="仿宋_GB2312"/>
                <w:color w:val="000000"/>
                <w:kern w:val="2"/>
                <w:sz w:val="18"/>
                <w:szCs w:val="18"/>
                <w:highlight w:val="none"/>
                <w:lang w:eastAsia="zh-CN"/>
              </w:rPr>
            </w:pPr>
          </w:p>
        </w:tc>
        <w:tc>
          <w:tcPr>
            <w:tcW w:w="2210" w:type="dxa"/>
            <w:tcBorders>
              <w:tl2br w:val="nil"/>
              <w:tr2bl w:val="nil"/>
            </w:tcBorders>
            <w:tcMar>
              <w:top w:w="15" w:type="dxa"/>
              <w:left w:w="15" w:type="dxa"/>
              <w:right w:w="15" w:type="dxa"/>
            </w:tcMar>
            <w:vAlign w:val="center"/>
          </w:tcPr>
          <w:p w14:paraId="40CD5669">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r>
              <w:rPr>
                <w:rFonts w:hint="eastAsia" w:ascii="仿宋_GB2312" w:hAnsi="仿宋_GB2312" w:eastAsia="仿宋_GB2312" w:cs="仿宋_GB2312"/>
                <w:color w:val="000000"/>
                <w:kern w:val="0"/>
                <w:sz w:val="18"/>
                <w:szCs w:val="18"/>
                <w:highlight w:val="none"/>
                <w:lang w:eastAsia="zh-CN" w:bidi="ar"/>
              </w:rPr>
              <w:t>7:00-8:00</w:t>
            </w:r>
          </w:p>
        </w:tc>
        <w:tc>
          <w:tcPr>
            <w:tcW w:w="2053" w:type="dxa"/>
            <w:tcBorders>
              <w:tl2br w:val="nil"/>
              <w:tr2bl w:val="nil"/>
            </w:tcBorders>
            <w:tcMar>
              <w:top w:w="15" w:type="dxa"/>
              <w:left w:w="15" w:type="dxa"/>
              <w:right w:w="15" w:type="dxa"/>
            </w:tcMar>
            <w:vAlign w:val="center"/>
          </w:tcPr>
          <w:p w14:paraId="23903461">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kern w:val="2"/>
                <w:sz w:val="18"/>
                <w:szCs w:val="18"/>
                <w:highlight w:val="none"/>
                <w:lang w:eastAsia="zh-CN"/>
              </w:rPr>
            </w:pPr>
          </w:p>
        </w:tc>
        <w:tc>
          <w:tcPr>
            <w:tcW w:w="2142" w:type="dxa"/>
            <w:tcBorders>
              <w:tl2br w:val="nil"/>
              <w:tr2bl w:val="nil"/>
            </w:tcBorders>
            <w:tcMar>
              <w:top w:w="15" w:type="dxa"/>
              <w:left w:w="15" w:type="dxa"/>
              <w:right w:w="15" w:type="dxa"/>
            </w:tcMar>
            <w:vAlign w:val="center"/>
          </w:tcPr>
          <w:p w14:paraId="25E87251">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p>
        </w:tc>
      </w:tr>
      <w:tr w14:paraId="5FAAE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jc w:val="center"/>
        </w:trPr>
        <w:tc>
          <w:tcPr>
            <w:tcW w:w="2275" w:type="dxa"/>
            <w:vMerge w:val="continue"/>
            <w:tcBorders>
              <w:tl2br w:val="nil"/>
              <w:tr2bl w:val="nil"/>
            </w:tcBorders>
            <w:tcMar>
              <w:top w:w="15" w:type="dxa"/>
              <w:left w:w="15" w:type="dxa"/>
              <w:right w:w="15" w:type="dxa"/>
            </w:tcMar>
            <w:vAlign w:val="center"/>
          </w:tcPr>
          <w:p w14:paraId="7D6EB3E5">
            <w:pPr>
              <w:keepNext w:val="0"/>
              <w:keepLines w:val="0"/>
              <w:pageBreakBefore w:val="0"/>
              <w:widowControl w:val="0"/>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outlineLvl w:val="9"/>
              <w:rPr>
                <w:rFonts w:hint="eastAsia" w:ascii="仿宋_GB2312" w:hAnsi="仿宋_GB2312" w:eastAsia="仿宋_GB2312" w:cs="仿宋_GB2312"/>
                <w:color w:val="000000"/>
                <w:kern w:val="2"/>
                <w:sz w:val="18"/>
                <w:szCs w:val="18"/>
                <w:highlight w:val="none"/>
                <w:lang w:eastAsia="zh-CN"/>
              </w:rPr>
            </w:pPr>
          </w:p>
        </w:tc>
        <w:tc>
          <w:tcPr>
            <w:tcW w:w="2210" w:type="dxa"/>
            <w:tcBorders>
              <w:tl2br w:val="nil"/>
              <w:tr2bl w:val="nil"/>
            </w:tcBorders>
            <w:tcMar>
              <w:top w:w="15" w:type="dxa"/>
              <w:left w:w="15" w:type="dxa"/>
              <w:right w:w="15" w:type="dxa"/>
            </w:tcMar>
            <w:vAlign w:val="center"/>
          </w:tcPr>
          <w:p w14:paraId="6BA4AE01">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r>
              <w:rPr>
                <w:rFonts w:hint="eastAsia" w:ascii="仿宋_GB2312" w:hAnsi="仿宋_GB2312" w:eastAsia="仿宋_GB2312" w:cs="仿宋_GB2312"/>
                <w:color w:val="000000"/>
                <w:kern w:val="0"/>
                <w:sz w:val="18"/>
                <w:szCs w:val="18"/>
                <w:highlight w:val="none"/>
                <w:lang w:eastAsia="zh-CN" w:bidi="ar"/>
              </w:rPr>
              <w:t>8:00-9:00</w:t>
            </w:r>
          </w:p>
        </w:tc>
        <w:tc>
          <w:tcPr>
            <w:tcW w:w="2053" w:type="dxa"/>
            <w:tcBorders>
              <w:tl2br w:val="nil"/>
              <w:tr2bl w:val="nil"/>
            </w:tcBorders>
            <w:tcMar>
              <w:top w:w="15" w:type="dxa"/>
              <w:left w:w="15" w:type="dxa"/>
              <w:right w:w="15" w:type="dxa"/>
            </w:tcMar>
            <w:vAlign w:val="center"/>
          </w:tcPr>
          <w:p w14:paraId="313158C6">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kern w:val="2"/>
                <w:sz w:val="18"/>
                <w:szCs w:val="18"/>
                <w:highlight w:val="none"/>
                <w:lang w:eastAsia="zh-CN"/>
              </w:rPr>
            </w:pPr>
          </w:p>
        </w:tc>
        <w:tc>
          <w:tcPr>
            <w:tcW w:w="2142" w:type="dxa"/>
            <w:tcBorders>
              <w:tl2br w:val="nil"/>
              <w:tr2bl w:val="nil"/>
            </w:tcBorders>
            <w:tcMar>
              <w:top w:w="15" w:type="dxa"/>
              <w:left w:w="15" w:type="dxa"/>
              <w:right w:w="15" w:type="dxa"/>
            </w:tcMar>
            <w:vAlign w:val="center"/>
          </w:tcPr>
          <w:p w14:paraId="65EB3D50">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p>
        </w:tc>
      </w:tr>
      <w:tr w14:paraId="51E2D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jc w:val="center"/>
        </w:trPr>
        <w:tc>
          <w:tcPr>
            <w:tcW w:w="2275" w:type="dxa"/>
            <w:vMerge w:val="continue"/>
            <w:tcBorders>
              <w:tl2br w:val="nil"/>
              <w:tr2bl w:val="nil"/>
            </w:tcBorders>
            <w:tcMar>
              <w:top w:w="15" w:type="dxa"/>
              <w:left w:w="15" w:type="dxa"/>
              <w:right w:w="15" w:type="dxa"/>
            </w:tcMar>
            <w:vAlign w:val="center"/>
          </w:tcPr>
          <w:p w14:paraId="2982BF8E">
            <w:pPr>
              <w:keepNext w:val="0"/>
              <w:keepLines w:val="0"/>
              <w:pageBreakBefore w:val="0"/>
              <w:widowControl w:val="0"/>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outlineLvl w:val="9"/>
              <w:rPr>
                <w:rFonts w:hint="eastAsia" w:ascii="仿宋_GB2312" w:hAnsi="仿宋_GB2312" w:eastAsia="仿宋_GB2312" w:cs="仿宋_GB2312"/>
                <w:color w:val="000000"/>
                <w:kern w:val="2"/>
                <w:sz w:val="18"/>
                <w:szCs w:val="18"/>
                <w:highlight w:val="none"/>
                <w:lang w:eastAsia="zh-CN"/>
              </w:rPr>
            </w:pPr>
          </w:p>
        </w:tc>
        <w:tc>
          <w:tcPr>
            <w:tcW w:w="2210" w:type="dxa"/>
            <w:tcBorders>
              <w:tl2br w:val="nil"/>
              <w:tr2bl w:val="nil"/>
            </w:tcBorders>
            <w:tcMar>
              <w:top w:w="15" w:type="dxa"/>
              <w:left w:w="15" w:type="dxa"/>
              <w:right w:w="15" w:type="dxa"/>
            </w:tcMar>
            <w:vAlign w:val="center"/>
          </w:tcPr>
          <w:p w14:paraId="5F44465B">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r>
              <w:rPr>
                <w:rFonts w:hint="eastAsia" w:ascii="仿宋_GB2312" w:hAnsi="仿宋_GB2312" w:eastAsia="仿宋_GB2312" w:cs="仿宋_GB2312"/>
                <w:color w:val="000000"/>
                <w:kern w:val="0"/>
                <w:sz w:val="18"/>
                <w:szCs w:val="18"/>
                <w:highlight w:val="none"/>
                <w:lang w:eastAsia="zh-CN" w:bidi="ar"/>
              </w:rPr>
              <w:t>9:00-10:00</w:t>
            </w:r>
          </w:p>
        </w:tc>
        <w:tc>
          <w:tcPr>
            <w:tcW w:w="2053" w:type="dxa"/>
            <w:tcBorders>
              <w:tl2br w:val="nil"/>
              <w:tr2bl w:val="nil"/>
            </w:tcBorders>
            <w:tcMar>
              <w:top w:w="15" w:type="dxa"/>
              <w:left w:w="15" w:type="dxa"/>
              <w:right w:w="15" w:type="dxa"/>
            </w:tcMar>
            <w:vAlign w:val="center"/>
          </w:tcPr>
          <w:p w14:paraId="3815A888">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kern w:val="2"/>
                <w:sz w:val="18"/>
                <w:szCs w:val="18"/>
                <w:highlight w:val="none"/>
                <w:lang w:eastAsia="zh-CN"/>
              </w:rPr>
            </w:pPr>
          </w:p>
        </w:tc>
        <w:tc>
          <w:tcPr>
            <w:tcW w:w="2142" w:type="dxa"/>
            <w:tcBorders>
              <w:tl2br w:val="nil"/>
              <w:tr2bl w:val="nil"/>
            </w:tcBorders>
            <w:tcMar>
              <w:top w:w="15" w:type="dxa"/>
              <w:left w:w="15" w:type="dxa"/>
              <w:right w:w="15" w:type="dxa"/>
            </w:tcMar>
            <w:vAlign w:val="center"/>
          </w:tcPr>
          <w:p w14:paraId="5BB302DC">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p>
        </w:tc>
      </w:tr>
      <w:tr w14:paraId="57619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jc w:val="center"/>
        </w:trPr>
        <w:tc>
          <w:tcPr>
            <w:tcW w:w="2275" w:type="dxa"/>
            <w:vMerge w:val="continue"/>
            <w:tcBorders>
              <w:tl2br w:val="nil"/>
              <w:tr2bl w:val="nil"/>
            </w:tcBorders>
            <w:tcMar>
              <w:top w:w="15" w:type="dxa"/>
              <w:left w:w="15" w:type="dxa"/>
              <w:right w:w="15" w:type="dxa"/>
            </w:tcMar>
            <w:vAlign w:val="center"/>
          </w:tcPr>
          <w:p w14:paraId="57FC78BC">
            <w:pPr>
              <w:keepNext w:val="0"/>
              <w:keepLines w:val="0"/>
              <w:pageBreakBefore w:val="0"/>
              <w:widowControl w:val="0"/>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outlineLvl w:val="9"/>
              <w:rPr>
                <w:rFonts w:hint="eastAsia" w:ascii="仿宋_GB2312" w:hAnsi="仿宋_GB2312" w:eastAsia="仿宋_GB2312" w:cs="仿宋_GB2312"/>
                <w:color w:val="000000"/>
                <w:kern w:val="2"/>
                <w:sz w:val="18"/>
                <w:szCs w:val="18"/>
                <w:highlight w:val="none"/>
                <w:lang w:eastAsia="zh-CN"/>
              </w:rPr>
            </w:pPr>
          </w:p>
        </w:tc>
        <w:tc>
          <w:tcPr>
            <w:tcW w:w="2210" w:type="dxa"/>
            <w:tcBorders>
              <w:tl2br w:val="nil"/>
              <w:tr2bl w:val="nil"/>
            </w:tcBorders>
            <w:tcMar>
              <w:top w:w="15" w:type="dxa"/>
              <w:left w:w="15" w:type="dxa"/>
              <w:right w:w="15" w:type="dxa"/>
            </w:tcMar>
            <w:vAlign w:val="center"/>
          </w:tcPr>
          <w:p w14:paraId="26F34570">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r>
              <w:rPr>
                <w:rFonts w:hint="eastAsia" w:ascii="仿宋_GB2312" w:hAnsi="仿宋_GB2312" w:eastAsia="仿宋_GB2312" w:cs="仿宋_GB2312"/>
                <w:color w:val="000000"/>
                <w:kern w:val="0"/>
                <w:sz w:val="18"/>
                <w:szCs w:val="18"/>
                <w:highlight w:val="none"/>
                <w:lang w:eastAsia="zh-CN" w:bidi="ar"/>
              </w:rPr>
              <w:t>10:00-11:00</w:t>
            </w:r>
          </w:p>
        </w:tc>
        <w:tc>
          <w:tcPr>
            <w:tcW w:w="2053" w:type="dxa"/>
            <w:tcBorders>
              <w:tl2br w:val="nil"/>
              <w:tr2bl w:val="nil"/>
            </w:tcBorders>
            <w:tcMar>
              <w:top w:w="15" w:type="dxa"/>
              <w:left w:w="15" w:type="dxa"/>
              <w:right w:w="15" w:type="dxa"/>
            </w:tcMar>
            <w:vAlign w:val="center"/>
          </w:tcPr>
          <w:p w14:paraId="0FDB4F21">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kern w:val="2"/>
                <w:sz w:val="18"/>
                <w:szCs w:val="18"/>
                <w:highlight w:val="none"/>
                <w:lang w:eastAsia="zh-CN"/>
              </w:rPr>
            </w:pPr>
          </w:p>
        </w:tc>
        <w:tc>
          <w:tcPr>
            <w:tcW w:w="2142" w:type="dxa"/>
            <w:tcBorders>
              <w:tl2br w:val="nil"/>
              <w:tr2bl w:val="nil"/>
            </w:tcBorders>
            <w:tcMar>
              <w:top w:w="15" w:type="dxa"/>
              <w:left w:w="15" w:type="dxa"/>
              <w:right w:w="15" w:type="dxa"/>
            </w:tcMar>
            <w:vAlign w:val="center"/>
          </w:tcPr>
          <w:p w14:paraId="3F0BC423">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p>
        </w:tc>
      </w:tr>
      <w:tr w14:paraId="180D2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jc w:val="center"/>
        </w:trPr>
        <w:tc>
          <w:tcPr>
            <w:tcW w:w="2275" w:type="dxa"/>
            <w:vMerge w:val="continue"/>
            <w:tcBorders>
              <w:tl2br w:val="nil"/>
              <w:tr2bl w:val="nil"/>
            </w:tcBorders>
            <w:tcMar>
              <w:top w:w="15" w:type="dxa"/>
              <w:left w:w="15" w:type="dxa"/>
              <w:right w:w="15" w:type="dxa"/>
            </w:tcMar>
            <w:vAlign w:val="center"/>
          </w:tcPr>
          <w:p w14:paraId="45826EA2">
            <w:pPr>
              <w:keepNext w:val="0"/>
              <w:keepLines w:val="0"/>
              <w:pageBreakBefore w:val="0"/>
              <w:widowControl w:val="0"/>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outlineLvl w:val="9"/>
              <w:rPr>
                <w:rFonts w:hint="eastAsia" w:ascii="仿宋_GB2312" w:hAnsi="仿宋_GB2312" w:eastAsia="仿宋_GB2312" w:cs="仿宋_GB2312"/>
                <w:color w:val="000000"/>
                <w:kern w:val="2"/>
                <w:sz w:val="18"/>
                <w:szCs w:val="18"/>
                <w:highlight w:val="none"/>
                <w:lang w:eastAsia="zh-CN"/>
              </w:rPr>
            </w:pPr>
          </w:p>
        </w:tc>
        <w:tc>
          <w:tcPr>
            <w:tcW w:w="2210" w:type="dxa"/>
            <w:tcBorders>
              <w:tl2br w:val="nil"/>
              <w:tr2bl w:val="nil"/>
            </w:tcBorders>
            <w:tcMar>
              <w:top w:w="15" w:type="dxa"/>
              <w:left w:w="15" w:type="dxa"/>
              <w:right w:w="15" w:type="dxa"/>
            </w:tcMar>
            <w:vAlign w:val="center"/>
          </w:tcPr>
          <w:p w14:paraId="65721842">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r>
              <w:rPr>
                <w:rFonts w:hint="eastAsia" w:ascii="仿宋_GB2312" w:hAnsi="仿宋_GB2312" w:eastAsia="仿宋_GB2312" w:cs="仿宋_GB2312"/>
                <w:color w:val="000000"/>
                <w:kern w:val="0"/>
                <w:sz w:val="18"/>
                <w:szCs w:val="18"/>
                <w:highlight w:val="none"/>
                <w:lang w:eastAsia="zh-CN" w:bidi="ar"/>
              </w:rPr>
              <w:t>11:00-12:00</w:t>
            </w:r>
          </w:p>
        </w:tc>
        <w:tc>
          <w:tcPr>
            <w:tcW w:w="2053" w:type="dxa"/>
            <w:tcBorders>
              <w:tl2br w:val="nil"/>
              <w:tr2bl w:val="nil"/>
            </w:tcBorders>
            <w:tcMar>
              <w:top w:w="15" w:type="dxa"/>
              <w:left w:w="15" w:type="dxa"/>
              <w:right w:w="15" w:type="dxa"/>
            </w:tcMar>
            <w:vAlign w:val="center"/>
          </w:tcPr>
          <w:p w14:paraId="50E19FD4">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kern w:val="2"/>
                <w:sz w:val="18"/>
                <w:szCs w:val="18"/>
                <w:highlight w:val="none"/>
                <w:lang w:eastAsia="zh-CN"/>
              </w:rPr>
            </w:pPr>
          </w:p>
        </w:tc>
        <w:tc>
          <w:tcPr>
            <w:tcW w:w="2142" w:type="dxa"/>
            <w:tcBorders>
              <w:tl2br w:val="nil"/>
              <w:tr2bl w:val="nil"/>
            </w:tcBorders>
            <w:tcMar>
              <w:top w:w="15" w:type="dxa"/>
              <w:left w:w="15" w:type="dxa"/>
              <w:right w:w="15" w:type="dxa"/>
            </w:tcMar>
            <w:vAlign w:val="center"/>
          </w:tcPr>
          <w:p w14:paraId="470FB170">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p>
        </w:tc>
      </w:tr>
      <w:tr w14:paraId="5D78C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jc w:val="center"/>
        </w:trPr>
        <w:tc>
          <w:tcPr>
            <w:tcW w:w="2275" w:type="dxa"/>
            <w:vMerge w:val="continue"/>
            <w:tcBorders>
              <w:tl2br w:val="nil"/>
              <w:tr2bl w:val="nil"/>
            </w:tcBorders>
            <w:tcMar>
              <w:top w:w="15" w:type="dxa"/>
              <w:left w:w="15" w:type="dxa"/>
              <w:right w:w="15" w:type="dxa"/>
            </w:tcMar>
            <w:vAlign w:val="center"/>
          </w:tcPr>
          <w:p w14:paraId="50C1593F">
            <w:pPr>
              <w:keepNext w:val="0"/>
              <w:keepLines w:val="0"/>
              <w:pageBreakBefore w:val="0"/>
              <w:widowControl w:val="0"/>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outlineLvl w:val="9"/>
              <w:rPr>
                <w:rFonts w:hint="eastAsia" w:ascii="仿宋_GB2312" w:hAnsi="仿宋_GB2312" w:eastAsia="仿宋_GB2312" w:cs="仿宋_GB2312"/>
                <w:color w:val="000000"/>
                <w:kern w:val="2"/>
                <w:sz w:val="18"/>
                <w:szCs w:val="18"/>
                <w:highlight w:val="none"/>
                <w:lang w:eastAsia="zh-CN"/>
              </w:rPr>
            </w:pPr>
          </w:p>
        </w:tc>
        <w:tc>
          <w:tcPr>
            <w:tcW w:w="2210" w:type="dxa"/>
            <w:tcBorders>
              <w:tl2br w:val="nil"/>
              <w:tr2bl w:val="nil"/>
            </w:tcBorders>
            <w:tcMar>
              <w:top w:w="15" w:type="dxa"/>
              <w:left w:w="15" w:type="dxa"/>
              <w:right w:w="15" w:type="dxa"/>
            </w:tcMar>
            <w:vAlign w:val="center"/>
          </w:tcPr>
          <w:p w14:paraId="621696BD">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w:t>
            </w:r>
          </w:p>
        </w:tc>
        <w:tc>
          <w:tcPr>
            <w:tcW w:w="2053" w:type="dxa"/>
            <w:tcBorders>
              <w:tl2br w:val="nil"/>
              <w:tr2bl w:val="nil"/>
            </w:tcBorders>
            <w:tcMar>
              <w:top w:w="15" w:type="dxa"/>
              <w:left w:w="15" w:type="dxa"/>
              <w:right w:w="15" w:type="dxa"/>
            </w:tcMar>
            <w:vAlign w:val="center"/>
          </w:tcPr>
          <w:p w14:paraId="09FAFF43">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kern w:val="2"/>
                <w:sz w:val="18"/>
                <w:szCs w:val="18"/>
                <w:highlight w:val="none"/>
                <w:lang w:eastAsia="zh-CN"/>
              </w:rPr>
            </w:pPr>
          </w:p>
        </w:tc>
        <w:tc>
          <w:tcPr>
            <w:tcW w:w="2142" w:type="dxa"/>
            <w:tcBorders>
              <w:tl2br w:val="nil"/>
              <w:tr2bl w:val="nil"/>
            </w:tcBorders>
            <w:tcMar>
              <w:top w:w="15" w:type="dxa"/>
              <w:left w:w="15" w:type="dxa"/>
              <w:right w:w="15" w:type="dxa"/>
            </w:tcMar>
            <w:vAlign w:val="center"/>
          </w:tcPr>
          <w:p w14:paraId="2D3C114F">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p>
        </w:tc>
      </w:tr>
      <w:tr w14:paraId="1ADFF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jc w:val="center"/>
        </w:trPr>
        <w:tc>
          <w:tcPr>
            <w:tcW w:w="2275" w:type="dxa"/>
            <w:vMerge w:val="continue"/>
            <w:tcBorders>
              <w:tl2br w:val="nil"/>
              <w:tr2bl w:val="nil"/>
            </w:tcBorders>
            <w:tcMar>
              <w:top w:w="15" w:type="dxa"/>
              <w:left w:w="15" w:type="dxa"/>
              <w:right w:w="15" w:type="dxa"/>
            </w:tcMar>
            <w:vAlign w:val="center"/>
          </w:tcPr>
          <w:p w14:paraId="586BCBCA">
            <w:pPr>
              <w:keepNext w:val="0"/>
              <w:keepLines w:val="0"/>
              <w:pageBreakBefore w:val="0"/>
              <w:widowControl w:val="0"/>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outlineLvl w:val="9"/>
              <w:rPr>
                <w:rFonts w:hint="eastAsia" w:ascii="仿宋_GB2312" w:hAnsi="仿宋_GB2312" w:eastAsia="仿宋_GB2312" w:cs="仿宋_GB2312"/>
                <w:color w:val="000000"/>
                <w:kern w:val="2"/>
                <w:sz w:val="18"/>
                <w:szCs w:val="18"/>
                <w:highlight w:val="none"/>
                <w:lang w:eastAsia="zh-CN"/>
              </w:rPr>
            </w:pPr>
          </w:p>
        </w:tc>
        <w:tc>
          <w:tcPr>
            <w:tcW w:w="2210" w:type="dxa"/>
            <w:tcBorders>
              <w:tl2br w:val="nil"/>
              <w:tr2bl w:val="nil"/>
            </w:tcBorders>
            <w:tcMar>
              <w:top w:w="15" w:type="dxa"/>
              <w:left w:w="15" w:type="dxa"/>
              <w:right w:w="15" w:type="dxa"/>
            </w:tcMar>
            <w:vAlign w:val="center"/>
          </w:tcPr>
          <w:p w14:paraId="63C69C7F">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18"/>
                <w:szCs w:val="18"/>
                <w:highlight w:val="none"/>
                <w:lang w:eastAsia="zh-CN" w:bidi="ar"/>
              </w:rPr>
            </w:pPr>
            <w:r>
              <w:rPr>
                <w:rFonts w:hint="eastAsia" w:ascii="仿宋_GB2312" w:hAnsi="仿宋_GB2312" w:eastAsia="仿宋_GB2312" w:cs="仿宋_GB2312"/>
                <w:color w:val="000000"/>
                <w:kern w:val="0"/>
                <w:sz w:val="18"/>
                <w:szCs w:val="18"/>
                <w:highlight w:val="none"/>
                <w:lang w:val="en-US" w:eastAsia="zh-CN" w:bidi="ar"/>
              </w:rPr>
              <w:t>......</w:t>
            </w:r>
          </w:p>
        </w:tc>
        <w:tc>
          <w:tcPr>
            <w:tcW w:w="2053" w:type="dxa"/>
            <w:tcBorders>
              <w:tl2br w:val="nil"/>
              <w:tr2bl w:val="nil"/>
            </w:tcBorders>
            <w:tcMar>
              <w:top w:w="15" w:type="dxa"/>
              <w:left w:w="15" w:type="dxa"/>
              <w:right w:w="15" w:type="dxa"/>
            </w:tcMar>
            <w:vAlign w:val="center"/>
          </w:tcPr>
          <w:p w14:paraId="7EEA83E8">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kern w:val="2"/>
                <w:sz w:val="18"/>
                <w:szCs w:val="18"/>
                <w:highlight w:val="none"/>
                <w:lang w:eastAsia="zh-CN"/>
              </w:rPr>
            </w:pPr>
          </w:p>
        </w:tc>
        <w:tc>
          <w:tcPr>
            <w:tcW w:w="2142" w:type="dxa"/>
            <w:tcBorders>
              <w:tl2br w:val="nil"/>
              <w:tr2bl w:val="nil"/>
            </w:tcBorders>
            <w:tcMar>
              <w:top w:w="15" w:type="dxa"/>
              <w:left w:w="15" w:type="dxa"/>
              <w:right w:w="15" w:type="dxa"/>
            </w:tcMar>
            <w:vAlign w:val="center"/>
          </w:tcPr>
          <w:p w14:paraId="70816D55">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p>
        </w:tc>
      </w:tr>
      <w:tr w14:paraId="0D290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jc w:val="center"/>
        </w:trPr>
        <w:tc>
          <w:tcPr>
            <w:tcW w:w="2275" w:type="dxa"/>
            <w:vMerge w:val="continue"/>
            <w:tcBorders>
              <w:tl2br w:val="nil"/>
              <w:tr2bl w:val="nil"/>
            </w:tcBorders>
            <w:tcMar>
              <w:top w:w="15" w:type="dxa"/>
              <w:left w:w="15" w:type="dxa"/>
              <w:right w:w="15" w:type="dxa"/>
            </w:tcMar>
            <w:vAlign w:val="center"/>
          </w:tcPr>
          <w:p w14:paraId="3B53D292">
            <w:pPr>
              <w:keepNext w:val="0"/>
              <w:keepLines w:val="0"/>
              <w:pageBreakBefore w:val="0"/>
              <w:widowControl w:val="0"/>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outlineLvl w:val="9"/>
              <w:rPr>
                <w:rFonts w:hint="eastAsia" w:ascii="仿宋_GB2312" w:hAnsi="仿宋_GB2312" w:eastAsia="仿宋_GB2312" w:cs="仿宋_GB2312"/>
                <w:color w:val="000000"/>
                <w:kern w:val="2"/>
                <w:sz w:val="18"/>
                <w:szCs w:val="18"/>
                <w:highlight w:val="none"/>
                <w:lang w:eastAsia="zh-CN"/>
              </w:rPr>
            </w:pPr>
          </w:p>
        </w:tc>
        <w:tc>
          <w:tcPr>
            <w:tcW w:w="2210" w:type="dxa"/>
            <w:tcBorders>
              <w:tl2br w:val="nil"/>
              <w:tr2bl w:val="nil"/>
            </w:tcBorders>
            <w:tcMar>
              <w:top w:w="15" w:type="dxa"/>
              <w:left w:w="15" w:type="dxa"/>
              <w:right w:w="15" w:type="dxa"/>
            </w:tcMar>
            <w:vAlign w:val="center"/>
          </w:tcPr>
          <w:p w14:paraId="21F16FF3">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18"/>
                <w:szCs w:val="18"/>
                <w:highlight w:val="none"/>
                <w:lang w:eastAsia="zh-CN" w:bidi="ar"/>
              </w:rPr>
            </w:pPr>
            <w:r>
              <w:rPr>
                <w:rFonts w:hint="eastAsia" w:ascii="仿宋_GB2312" w:hAnsi="仿宋_GB2312" w:eastAsia="仿宋_GB2312" w:cs="仿宋_GB2312"/>
                <w:color w:val="000000"/>
                <w:kern w:val="0"/>
                <w:sz w:val="18"/>
                <w:szCs w:val="18"/>
                <w:highlight w:val="none"/>
                <w:lang w:val="en-US" w:eastAsia="zh-CN" w:bidi="ar"/>
              </w:rPr>
              <w:t>......</w:t>
            </w:r>
          </w:p>
        </w:tc>
        <w:tc>
          <w:tcPr>
            <w:tcW w:w="2053" w:type="dxa"/>
            <w:tcBorders>
              <w:tl2br w:val="nil"/>
              <w:tr2bl w:val="nil"/>
            </w:tcBorders>
            <w:tcMar>
              <w:top w:w="15" w:type="dxa"/>
              <w:left w:w="15" w:type="dxa"/>
              <w:right w:w="15" w:type="dxa"/>
            </w:tcMar>
            <w:vAlign w:val="center"/>
          </w:tcPr>
          <w:p w14:paraId="46AAC843">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kern w:val="2"/>
                <w:sz w:val="18"/>
                <w:szCs w:val="18"/>
                <w:highlight w:val="none"/>
                <w:lang w:eastAsia="zh-CN"/>
              </w:rPr>
            </w:pPr>
          </w:p>
        </w:tc>
        <w:tc>
          <w:tcPr>
            <w:tcW w:w="2142" w:type="dxa"/>
            <w:tcBorders>
              <w:tl2br w:val="nil"/>
              <w:tr2bl w:val="nil"/>
            </w:tcBorders>
            <w:tcMar>
              <w:top w:w="15" w:type="dxa"/>
              <w:left w:w="15" w:type="dxa"/>
              <w:right w:w="15" w:type="dxa"/>
            </w:tcMar>
            <w:vAlign w:val="center"/>
          </w:tcPr>
          <w:p w14:paraId="142A8606">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p>
        </w:tc>
      </w:tr>
      <w:tr w14:paraId="018D6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jc w:val="center"/>
        </w:trPr>
        <w:tc>
          <w:tcPr>
            <w:tcW w:w="2275" w:type="dxa"/>
            <w:vMerge w:val="continue"/>
            <w:tcBorders>
              <w:tl2br w:val="nil"/>
              <w:tr2bl w:val="nil"/>
            </w:tcBorders>
            <w:tcMar>
              <w:top w:w="15" w:type="dxa"/>
              <w:left w:w="15" w:type="dxa"/>
              <w:right w:w="15" w:type="dxa"/>
            </w:tcMar>
            <w:vAlign w:val="center"/>
          </w:tcPr>
          <w:p w14:paraId="27C4CD72">
            <w:pPr>
              <w:keepNext w:val="0"/>
              <w:keepLines w:val="0"/>
              <w:pageBreakBefore w:val="0"/>
              <w:widowControl w:val="0"/>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outlineLvl w:val="9"/>
              <w:rPr>
                <w:rFonts w:hint="eastAsia" w:ascii="仿宋_GB2312" w:hAnsi="仿宋_GB2312" w:eastAsia="仿宋_GB2312" w:cs="仿宋_GB2312"/>
                <w:color w:val="000000"/>
                <w:kern w:val="2"/>
                <w:sz w:val="18"/>
                <w:szCs w:val="18"/>
                <w:highlight w:val="none"/>
                <w:lang w:eastAsia="zh-CN"/>
              </w:rPr>
            </w:pPr>
          </w:p>
        </w:tc>
        <w:tc>
          <w:tcPr>
            <w:tcW w:w="2210" w:type="dxa"/>
            <w:tcBorders>
              <w:tl2br w:val="nil"/>
              <w:tr2bl w:val="nil"/>
            </w:tcBorders>
            <w:tcMar>
              <w:top w:w="15" w:type="dxa"/>
              <w:left w:w="15" w:type="dxa"/>
              <w:right w:w="15" w:type="dxa"/>
            </w:tcMar>
            <w:vAlign w:val="center"/>
          </w:tcPr>
          <w:p w14:paraId="3258BE80">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r>
              <w:rPr>
                <w:rFonts w:hint="eastAsia" w:ascii="仿宋_GB2312" w:hAnsi="仿宋_GB2312" w:eastAsia="仿宋_GB2312" w:cs="仿宋_GB2312"/>
                <w:color w:val="000000"/>
                <w:kern w:val="0"/>
                <w:sz w:val="18"/>
                <w:szCs w:val="18"/>
                <w:highlight w:val="none"/>
                <w:lang w:eastAsia="zh-CN" w:bidi="ar"/>
              </w:rPr>
              <w:t>22:00-23:00</w:t>
            </w:r>
          </w:p>
        </w:tc>
        <w:tc>
          <w:tcPr>
            <w:tcW w:w="2053" w:type="dxa"/>
            <w:tcBorders>
              <w:tl2br w:val="nil"/>
              <w:tr2bl w:val="nil"/>
            </w:tcBorders>
            <w:tcMar>
              <w:top w:w="15" w:type="dxa"/>
              <w:left w:w="15" w:type="dxa"/>
              <w:right w:w="15" w:type="dxa"/>
            </w:tcMar>
            <w:vAlign w:val="center"/>
          </w:tcPr>
          <w:p w14:paraId="78D2BA7E">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kern w:val="2"/>
                <w:sz w:val="18"/>
                <w:szCs w:val="18"/>
                <w:highlight w:val="none"/>
                <w:lang w:eastAsia="zh-CN"/>
              </w:rPr>
            </w:pPr>
          </w:p>
        </w:tc>
        <w:tc>
          <w:tcPr>
            <w:tcW w:w="2142" w:type="dxa"/>
            <w:tcBorders>
              <w:tl2br w:val="nil"/>
              <w:tr2bl w:val="nil"/>
            </w:tcBorders>
            <w:tcMar>
              <w:top w:w="15" w:type="dxa"/>
              <w:left w:w="15" w:type="dxa"/>
              <w:right w:w="15" w:type="dxa"/>
            </w:tcMar>
            <w:vAlign w:val="center"/>
          </w:tcPr>
          <w:p w14:paraId="689BC485">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p>
        </w:tc>
      </w:tr>
      <w:tr w14:paraId="644B8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 w:hRule="atLeast"/>
          <w:jc w:val="center"/>
        </w:trPr>
        <w:tc>
          <w:tcPr>
            <w:tcW w:w="2275" w:type="dxa"/>
            <w:vMerge w:val="continue"/>
            <w:tcBorders>
              <w:tl2br w:val="nil"/>
              <w:tr2bl w:val="nil"/>
            </w:tcBorders>
            <w:tcMar>
              <w:top w:w="15" w:type="dxa"/>
              <w:left w:w="15" w:type="dxa"/>
              <w:right w:w="15" w:type="dxa"/>
            </w:tcMar>
            <w:vAlign w:val="center"/>
          </w:tcPr>
          <w:p w14:paraId="3758CA25">
            <w:pPr>
              <w:keepNext w:val="0"/>
              <w:keepLines w:val="0"/>
              <w:pageBreakBefore w:val="0"/>
              <w:widowControl w:val="0"/>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outlineLvl w:val="9"/>
              <w:rPr>
                <w:rFonts w:hint="eastAsia" w:ascii="仿宋_GB2312" w:hAnsi="仿宋_GB2312" w:eastAsia="仿宋_GB2312" w:cs="仿宋_GB2312"/>
                <w:color w:val="000000"/>
                <w:kern w:val="2"/>
                <w:sz w:val="18"/>
                <w:szCs w:val="18"/>
                <w:highlight w:val="none"/>
                <w:lang w:eastAsia="zh-CN"/>
              </w:rPr>
            </w:pPr>
          </w:p>
        </w:tc>
        <w:tc>
          <w:tcPr>
            <w:tcW w:w="2210" w:type="dxa"/>
            <w:tcBorders>
              <w:tl2br w:val="nil"/>
              <w:tr2bl w:val="nil"/>
            </w:tcBorders>
            <w:tcMar>
              <w:top w:w="15" w:type="dxa"/>
              <w:left w:w="15" w:type="dxa"/>
              <w:right w:w="15" w:type="dxa"/>
            </w:tcMar>
            <w:vAlign w:val="center"/>
          </w:tcPr>
          <w:p w14:paraId="71F1DBC4">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r>
              <w:rPr>
                <w:rFonts w:hint="eastAsia" w:ascii="仿宋_GB2312" w:hAnsi="仿宋_GB2312" w:eastAsia="仿宋_GB2312" w:cs="仿宋_GB2312"/>
                <w:color w:val="000000"/>
                <w:kern w:val="0"/>
                <w:sz w:val="18"/>
                <w:szCs w:val="18"/>
                <w:highlight w:val="none"/>
                <w:lang w:eastAsia="zh-CN" w:bidi="ar"/>
              </w:rPr>
              <w:t>23:00-24:00</w:t>
            </w:r>
          </w:p>
        </w:tc>
        <w:tc>
          <w:tcPr>
            <w:tcW w:w="2053" w:type="dxa"/>
            <w:tcBorders>
              <w:tl2br w:val="nil"/>
              <w:tr2bl w:val="nil"/>
            </w:tcBorders>
            <w:tcMar>
              <w:top w:w="15" w:type="dxa"/>
              <w:left w:w="15" w:type="dxa"/>
              <w:right w:w="15" w:type="dxa"/>
            </w:tcMar>
            <w:vAlign w:val="center"/>
          </w:tcPr>
          <w:p w14:paraId="279017CB">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kern w:val="2"/>
                <w:sz w:val="18"/>
                <w:szCs w:val="18"/>
                <w:highlight w:val="none"/>
                <w:lang w:eastAsia="zh-CN"/>
              </w:rPr>
            </w:pPr>
          </w:p>
        </w:tc>
        <w:tc>
          <w:tcPr>
            <w:tcW w:w="2142" w:type="dxa"/>
            <w:tcBorders>
              <w:tl2br w:val="nil"/>
              <w:tr2bl w:val="nil"/>
            </w:tcBorders>
            <w:tcMar>
              <w:top w:w="15" w:type="dxa"/>
              <w:left w:w="15" w:type="dxa"/>
              <w:right w:w="15" w:type="dxa"/>
            </w:tcMar>
            <w:vAlign w:val="center"/>
          </w:tcPr>
          <w:p w14:paraId="587EA86E">
            <w:pPr>
              <w:keepNext w:val="0"/>
              <w:keepLines w:val="0"/>
              <w:pageBreakBefore w:val="0"/>
              <w:widowControl/>
              <w:suppressLineNumbers w:val="0"/>
              <w:kinsoku/>
              <w:wordWrap/>
              <w:overflowPunct/>
              <w:topLinePunct w:val="0"/>
              <w:autoSpaceDE/>
              <w:autoSpaceDN/>
              <w:bidi w:val="0"/>
              <w:adjustRightInd/>
              <w:snapToGrid/>
              <w:spacing w:before="0" w:beforeLines="-2147483648" w:beforeAutospacing="0" w:after="100" w:afterLines="-2147483648" w:afterAutospacing="1" w:line="220" w:lineRule="atLeast"/>
              <w:ind w:left="0" w:leftChars="0" w:right="0" w:rightChars="0" w:firstLine="0" w:firstLineChars="0"/>
              <w:jc w:val="center"/>
              <w:textAlignment w:val="center"/>
              <w:outlineLvl w:val="9"/>
              <w:rPr>
                <w:rFonts w:hint="eastAsia" w:ascii="仿宋_GB2312" w:hAnsi="仿宋_GB2312" w:eastAsia="仿宋_GB2312" w:cs="仿宋_GB2312"/>
                <w:color w:val="000000"/>
                <w:kern w:val="2"/>
                <w:sz w:val="18"/>
                <w:szCs w:val="18"/>
                <w:highlight w:val="none"/>
                <w:lang w:eastAsia="zh-CN"/>
              </w:rPr>
            </w:pPr>
          </w:p>
        </w:tc>
      </w:tr>
    </w:tbl>
    <w:p w14:paraId="1F400E56">
      <w:pPr>
        <w:widowControl w:val="0"/>
        <w:spacing w:before="0" w:beforeLines="0" w:after="0" w:afterLines="0" w:line="560" w:lineRule="exact"/>
        <w:ind w:left="0" w:leftChars="0" w:firstLine="0" w:firstLineChars="0"/>
        <w:jc w:val="left"/>
        <w:rPr>
          <w:rFonts w:hint="eastAsia" w:ascii="仿宋_GB2312" w:hAnsi="仿宋_GB2312" w:eastAsia="仿宋_GB2312" w:cs="仿宋_GB2312"/>
          <w:kern w:val="2"/>
          <w:sz w:val="32"/>
          <w:szCs w:val="22"/>
          <w:highlight w:val="none"/>
          <w:lang w:val="en-US" w:eastAsia="zh-CN" w:bidi="ar-SA"/>
        </w:rPr>
      </w:pPr>
      <w:r>
        <w:rPr>
          <w:rFonts w:hint="eastAsia" w:ascii="仿宋_GB2312" w:hAnsi="仿宋_GB2312" w:eastAsia="仿宋_GB2312" w:cs="仿宋_GB2312"/>
          <w:kern w:val="2"/>
          <w:sz w:val="32"/>
          <w:szCs w:val="22"/>
          <w:highlight w:val="none"/>
          <w:lang w:val="en-US" w:eastAsia="zh-CN" w:bidi="ar-SA"/>
        </w:rPr>
        <w:t>说明：1.推送电量为电网企业推送至交易平台的分布式新能源项目结算电量。2.后续根据市场规则，适时调整时段划分。</w:t>
      </w:r>
    </w:p>
    <w:p w14:paraId="0F29C270">
      <w:pPr>
        <w:widowControl/>
        <w:spacing w:before="0" w:beforeLines="0" w:after="0" w:afterLines="0" w:line="560" w:lineRule="exact"/>
        <w:ind w:firstLine="640" w:firstLineChars="200"/>
        <w:jc w:val="left"/>
        <w:rPr>
          <w:rFonts w:hint="eastAsia" w:ascii="仿宋_GB2312" w:hAnsi="仿宋_GB2312" w:eastAsia="仿宋_GB2312" w:cs="21"/>
          <w:kern w:val="0"/>
          <w:sz w:val="32"/>
          <w:highlight w:val="none"/>
          <w:lang w:val="en-US" w:eastAsia="zh-CN"/>
        </w:rPr>
      </w:pPr>
    </w:p>
    <w:p w14:paraId="1EB6AFBB">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0" w:beforeLines="-2147483648" w:after="0" w:afterLines="-2147483648" w:line="540" w:lineRule="exact"/>
        <w:ind w:firstLine="0" w:firstLineChars="0"/>
        <w:jc w:val="both"/>
        <w:textAlignment w:val="baseline"/>
        <w:rPr>
          <w:rFonts w:hint="default" w:ascii="黑体" w:hAnsi="黑体" w:eastAsia="黑体" w:cs="黑体"/>
          <w:snapToGrid w:val="0"/>
          <w:color w:val="000000" w:themeColor="text1"/>
          <w:kern w:val="0"/>
          <w:sz w:val="30"/>
          <w:szCs w:val="30"/>
          <w:highlight w:val="none"/>
          <w:lang w:val="en-US" w:eastAsia="zh-CN"/>
          <w14:textFill>
            <w14:solidFill>
              <w14:schemeClr w14:val="tx1"/>
            </w14:solidFill>
          </w14:textFill>
        </w:rPr>
      </w:pPr>
      <w:r>
        <w:rPr>
          <w:rFonts w:hint="eastAsia" w:ascii="黑体" w:hAnsi="黑体" w:eastAsia="黑体" w:cs="黑体"/>
          <w:snapToGrid w:val="0"/>
          <w:color w:val="000000" w:themeColor="text1"/>
          <w:kern w:val="0"/>
          <w:sz w:val="30"/>
          <w:szCs w:val="30"/>
          <w:highlight w:val="none"/>
          <w:lang w:val="en-US" w:eastAsia="zh-CN"/>
          <w14:textFill>
            <w14:solidFill>
              <w14:schemeClr w14:val="tx1"/>
            </w14:solidFill>
          </w14:textFill>
        </w:rPr>
        <w:t>附件2</w:t>
      </w:r>
    </w:p>
    <w:p w14:paraId="0D3A527C">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left="0" w:leftChars="0" w:firstLine="0" w:firstLineChars="0"/>
        <w:jc w:val="center"/>
        <w:textAlignment w:val="auto"/>
        <w:rPr>
          <w:rFonts w:hint="eastAsia" w:ascii="方正小标宋_GBK" w:hAnsi="方正小标宋_GBK" w:eastAsia="方正小标宋_GBK" w:cs="方正小标宋_GBK"/>
          <w:b w:val="0"/>
          <w:bCs w:val="0"/>
          <w:color w:val="000000"/>
          <w:kern w:val="0"/>
          <w:sz w:val="44"/>
          <w:szCs w:val="44"/>
          <w:highlight w:val="none"/>
          <w:lang w:val="en-US" w:eastAsia="zh-CN" w:bidi="ar"/>
        </w:rPr>
      </w:pPr>
      <w:r>
        <w:rPr>
          <w:rFonts w:hint="eastAsia" w:ascii="方正小标宋_GBK" w:hAnsi="方正小标宋_GBK" w:eastAsia="方正小标宋_GBK" w:cs="方正小标宋_GBK"/>
          <w:b w:val="0"/>
          <w:bCs w:val="0"/>
          <w:color w:val="000000"/>
          <w:kern w:val="0"/>
          <w:sz w:val="44"/>
          <w:szCs w:val="44"/>
          <w:highlight w:val="none"/>
          <w:lang w:val="en-US" w:eastAsia="zh-CN" w:bidi="ar"/>
        </w:rPr>
        <w:t>分布式新能源项目聚合代理合同（模板）</w:t>
      </w:r>
    </w:p>
    <w:p w14:paraId="31C75B97">
      <w:pPr>
        <w:keepNext w:val="0"/>
        <w:keepLines w:val="0"/>
        <w:pageBreakBefore w:val="0"/>
        <w:widowControl/>
        <w:kinsoku/>
        <w:wordWrap/>
        <w:overflowPunct/>
        <w:topLinePunct w:val="0"/>
        <w:autoSpaceDE/>
        <w:autoSpaceDN/>
        <w:bidi w:val="0"/>
        <w:adjustRightInd/>
        <w:snapToGrid/>
        <w:spacing w:before="100" w:beforeLines="0" w:beforeAutospacing="0" w:after="100" w:afterLines="0" w:afterAutospacing="0" w:line="560" w:lineRule="exact"/>
        <w:ind w:left="160" w:leftChars="50" w:right="160" w:rightChars="50" w:firstLine="640" w:firstLineChars="200"/>
        <w:jc w:val="both"/>
        <w:textAlignment w:val="auto"/>
        <w:outlineLvl w:val="9"/>
        <w:rPr>
          <w:rFonts w:hint="eastAsia" w:ascii="方正仿宋_GBK" w:hAnsi="方正仿宋_GBK" w:eastAsia="方正仿宋_GBK" w:cs="方正仿宋_GBK"/>
          <w:kern w:val="0"/>
          <w:sz w:val="32"/>
          <w:szCs w:val="32"/>
          <w:highlight w:val="none"/>
          <w:lang w:val="en-US" w:eastAsia="zh-CN" w:bidi="ar"/>
        </w:rPr>
      </w:pPr>
    </w:p>
    <w:p w14:paraId="72A0A583">
      <w:pPr>
        <w:keepNext w:val="0"/>
        <w:keepLines w:val="0"/>
        <w:pageBreakBefore w:val="0"/>
        <w:widowControl/>
        <w:kinsoku/>
        <w:wordWrap/>
        <w:overflowPunct/>
        <w:topLinePunct w:val="0"/>
        <w:autoSpaceDE/>
        <w:autoSpaceDN/>
        <w:bidi w:val="0"/>
        <w:adjustRightInd/>
        <w:snapToGrid/>
        <w:spacing w:before="100" w:beforeLines="0" w:beforeAutospacing="0" w:after="100" w:afterLines="0"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0"/>
          <w:sz w:val="32"/>
          <w:szCs w:val="32"/>
          <w:highlight w:val="none"/>
          <w:u w:val="single"/>
          <w:lang w:val="en-US" w:eastAsia="zh-CN" w:bidi="ar"/>
        </w:rPr>
      </w:pPr>
      <w:r>
        <w:rPr>
          <w:rFonts w:hint="eastAsia" w:ascii="仿宋_GB2312" w:hAnsi="仿宋_GB2312" w:eastAsia="仿宋_GB2312" w:cs="仿宋_GB2312"/>
          <w:kern w:val="0"/>
          <w:sz w:val="32"/>
          <w:szCs w:val="32"/>
          <w:highlight w:val="none"/>
          <w:lang w:val="en-US" w:eastAsia="zh-CN" w:bidi="ar"/>
        </w:rPr>
        <w:t>甲方（分布式</w:t>
      </w:r>
      <w:bookmarkStart w:id="3" w:name="_GoBack"/>
      <w:bookmarkEnd w:id="3"/>
      <w:r>
        <w:rPr>
          <w:rFonts w:hint="eastAsia" w:ascii="仿宋_GB2312" w:hAnsi="仿宋_GB2312" w:eastAsia="仿宋_GB2312" w:cs="仿宋_GB2312"/>
          <w:kern w:val="0"/>
          <w:sz w:val="32"/>
          <w:szCs w:val="32"/>
          <w:highlight w:val="none"/>
          <w:lang w:val="en-US" w:eastAsia="zh-CN" w:bidi="ar"/>
        </w:rPr>
        <w:t>新能源项目经营主体），企业名称：</w:t>
      </w:r>
      <w:r>
        <w:rPr>
          <w:rFonts w:hint="eastAsia" w:ascii="仿宋_GB2312" w:hAnsi="仿宋_GB2312" w:eastAsia="仿宋_GB2312" w:cs="仿宋_GB2312"/>
          <w:kern w:val="0"/>
          <w:sz w:val="32"/>
          <w:szCs w:val="32"/>
          <w:highlight w:val="none"/>
          <w:u w:val="single"/>
          <w:lang w:val="en-US" w:eastAsia="zh-CN" w:bidi="ar"/>
        </w:rPr>
        <w:t xml:space="preserve">        </w:t>
      </w:r>
      <w:r>
        <w:rPr>
          <w:rFonts w:hint="eastAsia" w:ascii="仿宋_GB2312" w:hAnsi="仿宋_GB2312" w:eastAsia="仿宋_GB2312" w:cs="仿宋_GB2312"/>
          <w:kern w:val="0"/>
          <w:sz w:val="32"/>
          <w:szCs w:val="32"/>
          <w:highlight w:val="none"/>
          <w:lang w:val="en-US" w:eastAsia="zh-CN" w:bidi="ar"/>
        </w:rPr>
        <w:t>，统一社会信用代码：</w:t>
      </w:r>
      <w:r>
        <w:rPr>
          <w:rFonts w:hint="eastAsia" w:ascii="仿宋_GB2312" w:hAnsi="仿宋_GB2312" w:eastAsia="仿宋_GB2312" w:cs="仿宋_GB2312"/>
          <w:kern w:val="0"/>
          <w:sz w:val="32"/>
          <w:szCs w:val="32"/>
          <w:highlight w:val="none"/>
          <w:u w:val="single"/>
          <w:lang w:val="en-US" w:eastAsia="zh-CN" w:bidi="ar"/>
        </w:rPr>
        <w:t xml:space="preserve">                    </w:t>
      </w:r>
      <w:r>
        <w:rPr>
          <w:rFonts w:hint="eastAsia" w:ascii="仿宋_GB2312" w:hAnsi="仿宋_GB2312" w:eastAsia="仿宋_GB2312" w:cs="仿宋_GB2312"/>
          <w:kern w:val="0"/>
          <w:sz w:val="32"/>
          <w:szCs w:val="32"/>
          <w:highlight w:val="none"/>
          <w:u w:val="none"/>
          <w:lang w:val="en-US" w:eastAsia="zh-CN" w:bidi="ar"/>
        </w:rPr>
        <w:t>。</w:t>
      </w:r>
    </w:p>
    <w:p w14:paraId="6E838BF3">
      <w:pPr>
        <w:keepNext w:val="0"/>
        <w:keepLines w:val="0"/>
        <w:pageBreakBefore w:val="0"/>
        <w:widowControl/>
        <w:kinsoku/>
        <w:wordWrap/>
        <w:overflowPunct/>
        <w:topLinePunct w:val="0"/>
        <w:autoSpaceDE/>
        <w:autoSpaceDN/>
        <w:bidi w:val="0"/>
        <w:adjustRightInd/>
        <w:snapToGrid/>
        <w:spacing w:before="100" w:beforeLines="0" w:beforeAutospacing="0" w:after="100" w:afterLines="0"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乙方（负荷聚合商/虚拟电厂），企业名称：</w:t>
      </w:r>
      <w:r>
        <w:rPr>
          <w:rFonts w:hint="eastAsia" w:ascii="仿宋_GB2312" w:hAnsi="仿宋_GB2312" w:eastAsia="仿宋_GB2312" w:cs="仿宋_GB2312"/>
          <w:kern w:val="0"/>
          <w:sz w:val="32"/>
          <w:szCs w:val="32"/>
          <w:highlight w:val="none"/>
          <w:u w:val="single"/>
          <w:lang w:val="en-US" w:eastAsia="zh-CN" w:bidi="ar"/>
        </w:rPr>
        <w:t xml:space="preserve">            </w:t>
      </w:r>
      <w:r>
        <w:rPr>
          <w:rFonts w:hint="eastAsia" w:ascii="仿宋_GB2312" w:hAnsi="仿宋_GB2312" w:eastAsia="仿宋_GB2312" w:cs="仿宋_GB2312"/>
          <w:kern w:val="0"/>
          <w:sz w:val="32"/>
          <w:szCs w:val="32"/>
          <w:highlight w:val="none"/>
          <w:lang w:val="en-US" w:eastAsia="zh-CN" w:bidi="ar"/>
        </w:rPr>
        <w:t>，统一社会信用代码：</w:t>
      </w:r>
      <w:r>
        <w:rPr>
          <w:rFonts w:hint="eastAsia" w:ascii="仿宋_GB2312" w:hAnsi="仿宋_GB2312" w:eastAsia="仿宋_GB2312" w:cs="仿宋_GB2312"/>
          <w:kern w:val="0"/>
          <w:sz w:val="32"/>
          <w:szCs w:val="32"/>
          <w:highlight w:val="none"/>
          <w:u w:val="single"/>
          <w:lang w:val="en-US" w:eastAsia="zh-CN" w:bidi="ar"/>
        </w:rPr>
        <w:t xml:space="preserve">                    </w:t>
      </w:r>
      <w:r>
        <w:rPr>
          <w:rFonts w:hint="eastAsia" w:ascii="仿宋_GB2312" w:hAnsi="仿宋_GB2312" w:eastAsia="仿宋_GB2312" w:cs="仿宋_GB2312"/>
          <w:kern w:val="0"/>
          <w:sz w:val="32"/>
          <w:szCs w:val="32"/>
          <w:highlight w:val="none"/>
          <w:u w:val="none"/>
          <w:lang w:val="en-US" w:eastAsia="zh-CN" w:bidi="ar"/>
        </w:rPr>
        <w:t>。</w:t>
      </w:r>
    </w:p>
    <w:p w14:paraId="29B6129E">
      <w:pPr>
        <w:keepNext w:val="0"/>
        <w:keepLines w:val="0"/>
        <w:pageBreakBefore w:val="0"/>
        <w:widowControl w:val="0"/>
        <w:numPr>
          <w:ilvl w:val="-1"/>
          <w:numId w:val="0"/>
        </w:numPr>
        <w:kinsoku/>
        <w:wordWrap/>
        <w:overflowPunct/>
        <w:topLinePunct w:val="0"/>
        <w:autoSpaceDE/>
        <w:autoSpaceDN/>
        <w:bidi w:val="0"/>
        <w:adjustRightInd/>
        <w:snapToGrid/>
        <w:spacing w:before="157" w:beforeLines="50" w:beforeAutospacing="0" w:after="157" w:afterLines="50" w:afterAutospacing="0" w:line="580" w:lineRule="exact"/>
        <w:ind w:left="0" w:leftChars="0" w:right="0" w:rightChars="0" w:firstLine="643" w:firstLineChars="200"/>
        <w:jc w:val="center"/>
        <w:textAlignment w:val="auto"/>
        <w:outlineLvl w:val="1"/>
        <w:rPr>
          <w:rFonts w:hint="eastAsia" w:ascii="仿宋_GB2312" w:hAnsi="仿宋_GB2312" w:eastAsia="仿宋_GB2312" w:cs="仿宋_GB2312"/>
          <w:b/>
          <w:bCs/>
          <w:kern w:val="2"/>
          <w:sz w:val="32"/>
          <w:szCs w:val="32"/>
          <w:highlight w:val="none"/>
          <w:lang w:eastAsia="zh-CN"/>
        </w:rPr>
      </w:pPr>
      <w:r>
        <w:rPr>
          <w:rFonts w:hint="eastAsia" w:ascii="仿宋_GB2312" w:hAnsi="仿宋_GB2312" w:eastAsia="仿宋_GB2312" w:cs="仿宋_GB2312"/>
          <w:b/>
          <w:bCs/>
          <w:kern w:val="2"/>
          <w:sz w:val="32"/>
          <w:szCs w:val="32"/>
          <w:highlight w:val="none"/>
          <w:lang w:val="en-US" w:eastAsia="zh-CN"/>
        </w:rPr>
        <w:t xml:space="preserve">第一章  </w:t>
      </w:r>
      <w:r>
        <w:rPr>
          <w:rFonts w:hint="eastAsia" w:ascii="仿宋_GB2312" w:hAnsi="仿宋_GB2312" w:eastAsia="仿宋_GB2312" w:cs="仿宋_GB2312"/>
          <w:b/>
          <w:bCs/>
          <w:kern w:val="2"/>
          <w:sz w:val="32"/>
          <w:szCs w:val="32"/>
          <w:highlight w:val="none"/>
          <w:lang w:eastAsia="zh-CN"/>
        </w:rPr>
        <w:t>总 则</w:t>
      </w:r>
    </w:p>
    <w:p w14:paraId="4050437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0" w:firstLineChars="0"/>
        <w:jc w:val="both"/>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b/>
          <w:kern w:val="2"/>
          <w:sz w:val="32"/>
          <w:szCs w:val="32"/>
          <w:highlight w:val="none"/>
          <w:lang w:val="en-US" w:eastAsia="zh-CN" w:bidi="ar-SA"/>
        </w:rPr>
        <w:t xml:space="preserve">    第一条 </w:t>
      </w:r>
      <w:r>
        <w:rPr>
          <w:rFonts w:hint="eastAsia" w:ascii="仿宋_GB2312" w:hAnsi="仿宋_GB2312" w:eastAsia="仿宋_GB2312" w:cs="仿宋_GB2312"/>
          <w:kern w:val="0"/>
          <w:sz w:val="32"/>
          <w:szCs w:val="32"/>
          <w:highlight w:val="none"/>
          <w:lang w:val="en-US" w:eastAsia="zh-CN" w:bidi="ar"/>
        </w:rPr>
        <w:t>甲、乙双方根据国家有关法律、法规，按照宁夏回族自治区政府相关部门电力体制改革政策文件精神和相关规则，本着平等、自愿、公平和诚信的原则，经协商一致达成本合同。</w:t>
      </w:r>
    </w:p>
    <w:p w14:paraId="52FE68C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0" w:firstLineChars="0"/>
        <w:jc w:val="both"/>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b/>
          <w:kern w:val="2"/>
          <w:sz w:val="32"/>
          <w:szCs w:val="32"/>
          <w:highlight w:val="none"/>
          <w:lang w:val="en-US" w:eastAsia="zh-CN" w:bidi="ar-SA"/>
        </w:rPr>
        <w:t xml:space="preserve">    第二条 </w:t>
      </w:r>
      <w:r>
        <w:rPr>
          <w:rFonts w:hint="eastAsia" w:ascii="仿宋_GB2312" w:hAnsi="仿宋_GB2312" w:eastAsia="仿宋_GB2312" w:cs="仿宋_GB2312"/>
          <w:kern w:val="0"/>
          <w:sz w:val="32"/>
          <w:szCs w:val="32"/>
          <w:highlight w:val="none"/>
          <w:lang w:val="en-US" w:eastAsia="zh-CN" w:bidi="ar"/>
        </w:rPr>
        <w:t>合同期内，因政策变动造成电力市场运营规则、结算方式、电价等发生变化，双方视具体情况，依据国家和地方有关政策及法规，调整本合同的相关条款和约定，必要时重新签订合同。</w:t>
      </w:r>
    </w:p>
    <w:p w14:paraId="59F87952">
      <w:pPr>
        <w:keepNext w:val="0"/>
        <w:keepLines w:val="0"/>
        <w:pageBreakBefore w:val="0"/>
        <w:widowControl w:val="0"/>
        <w:numPr>
          <w:ilvl w:val="-1"/>
          <w:numId w:val="0"/>
        </w:numPr>
        <w:kinsoku/>
        <w:wordWrap/>
        <w:overflowPunct/>
        <w:topLinePunct w:val="0"/>
        <w:autoSpaceDE/>
        <w:autoSpaceDN/>
        <w:bidi w:val="0"/>
        <w:adjustRightInd/>
        <w:snapToGrid/>
        <w:spacing w:before="157" w:beforeLines="50" w:beforeAutospacing="0" w:after="157" w:afterLines="50" w:afterAutospacing="0" w:line="580" w:lineRule="exact"/>
        <w:ind w:left="0" w:leftChars="0" w:right="0" w:rightChars="0" w:firstLine="643" w:firstLineChars="200"/>
        <w:jc w:val="center"/>
        <w:textAlignment w:val="auto"/>
        <w:outlineLvl w:val="1"/>
        <w:rPr>
          <w:rFonts w:hint="eastAsia" w:ascii="仿宋_GB2312" w:hAnsi="仿宋_GB2312" w:eastAsia="仿宋_GB2312" w:cs="仿宋_GB2312"/>
          <w:b/>
          <w:bCs/>
          <w:kern w:val="2"/>
          <w:sz w:val="32"/>
          <w:szCs w:val="32"/>
          <w:highlight w:val="none"/>
          <w:lang w:eastAsia="zh-CN"/>
        </w:rPr>
      </w:pPr>
      <w:r>
        <w:rPr>
          <w:rFonts w:hint="eastAsia" w:ascii="仿宋_GB2312" w:hAnsi="仿宋_GB2312" w:eastAsia="仿宋_GB2312" w:cs="仿宋_GB2312"/>
          <w:b/>
          <w:bCs/>
          <w:kern w:val="2"/>
          <w:sz w:val="32"/>
          <w:szCs w:val="32"/>
          <w:highlight w:val="none"/>
          <w:lang w:val="en-US" w:eastAsia="zh-CN"/>
        </w:rPr>
        <w:t xml:space="preserve">第二章  </w:t>
      </w:r>
      <w:r>
        <w:rPr>
          <w:rFonts w:hint="eastAsia" w:ascii="仿宋_GB2312" w:hAnsi="仿宋_GB2312" w:eastAsia="仿宋_GB2312" w:cs="仿宋_GB2312"/>
          <w:b/>
          <w:bCs/>
          <w:kern w:val="2"/>
          <w:sz w:val="32"/>
          <w:szCs w:val="32"/>
          <w:highlight w:val="none"/>
          <w:lang w:eastAsia="zh-CN"/>
        </w:rPr>
        <w:t>基本陈述</w:t>
      </w:r>
    </w:p>
    <w:p w14:paraId="62D2CCD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0" w:firstLineChars="0"/>
        <w:jc w:val="both"/>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b/>
          <w:kern w:val="2"/>
          <w:sz w:val="32"/>
          <w:szCs w:val="32"/>
          <w:highlight w:val="none"/>
          <w:lang w:val="en-US" w:eastAsia="zh-CN" w:bidi="ar-SA"/>
        </w:rPr>
        <w:t xml:space="preserve">    第三条 </w:t>
      </w:r>
      <w:r>
        <w:rPr>
          <w:rFonts w:hint="eastAsia" w:ascii="仿宋_GB2312" w:hAnsi="仿宋_GB2312" w:eastAsia="仿宋_GB2312" w:cs="仿宋_GB2312"/>
          <w:kern w:val="0"/>
          <w:sz w:val="32"/>
          <w:szCs w:val="32"/>
          <w:highlight w:val="none"/>
          <w:lang w:val="en-US" w:eastAsia="zh-CN" w:bidi="ar"/>
        </w:rPr>
        <w:t>甲、乙双方在此向对方陈述如下：</w:t>
      </w:r>
    </w:p>
    <w:p w14:paraId="4F26797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1.本方为一家依法设立并合法存续的企业，在宁夏电力市场完成注册，具备电力市场交易资格，有权签署并有能力履行本合同。</w:t>
      </w:r>
    </w:p>
    <w:p w14:paraId="46FDC86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2.本方已充分理解宁夏电力市场有关规则，完全清楚电力市场可能存在的风险，认同成交结果，并同意自行承担可能存在的后果。</w:t>
      </w:r>
    </w:p>
    <w:p w14:paraId="69114CE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3.本方签署和履行本合同所需的一切手续（包括办理必要的政府批准、取得营业执照和电力业务许可证等）均已办妥并合法有效。</w:t>
      </w:r>
    </w:p>
    <w:p w14:paraId="5ED94BD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4.本方为签署本合同所需的内部授权程序均已完成，本合同的签署人是本方法定代表人或授权代理人。本合同生效后即对合同双方具有法律约束力。</w:t>
      </w:r>
    </w:p>
    <w:p w14:paraId="2119945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5.本方确认在订立本合同时，任何法院、仲裁机构、行政机关或监管机构均未做出任何足以对本公司履行本合同产生重大不利影响的判决、裁定、裁决或具体法律行为。</w:t>
      </w:r>
    </w:p>
    <w:p w14:paraId="6A55089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6.同一周期内，</w:t>
      </w:r>
      <w:bookmarkStart w:id="1" w:name="OLE_LINK2"/>
      <w:r>
        <w:rPr>
          <w:rFonts w:hint="eastAsia" w:ascii="仿宋_GB2312" w:hAnsi="仿宋_GB2312" w:eastAsia="仿宋_GB2312" w:cs="仿宋_GB2312"/>
          <w:kern w:val="0"/>
          <w:sz w:val="32"/>
          <w:szCs w:val="32"/>
          <w:highlight w:val="none"/>
          <w:lang w:val="en-US" w:eastAsia="zh-CN" w:bidi="ar"/>
        </w:rPr>
        <w:t>分布式（分散式）经营主体</w:t>
      </w:r>
      <w:bookmarkEnd w:id="1"/>
      <w:r>
        <w:rPr>
          <w:rFonts w:hint="eastAsia" w:ascii="仿宋_GB2312" w:hAnsi="仿宋_GB2312" w:eastAsia="仿宋_GB2312" w:cs="仿宋_GB2312"/>
          <w:kern w:val="0"/>
          <w:sz w:val="32"/>
          <w:szCs w:val="32"/>
          <w:highlight w:val="none"/>
          <w:lang w:val="en-US" w:eastAsia="zh-CN" w:bidi="ar"/>
        </w:rPr>
        <w:t>仅可与一家负荷聚合商/虚拟电厂确立聚合服务关系，分布式（分散式）经营主体通过该负荷聚合商/虚拟电厂按照市场规则参与市场。</w:t>
      </w:r>
    </w:p>
    <w:p w14:paraId="1ADDF087">
      <w:pPr>
        <w:keepNext w:val="0"/>
        <w:keepLines w:val="0"/>
        <w:pageBreakBefore w:val="0"/>
        <w:widowControl w:val="0"/>
        <w:numPr>
          <w:ilvl w:val="-1"/>
          <w:numId w:val="0"/>
        </w:numPr>
        <w:kinsoku/>
        <w:wordWrap/>
        <w:overflowPunct/>
        <w:topLinePunct w:val="0"/>
        <w:autoSpaceDE/>
        <w:autoSpaceDN/>
        <w:bidi w:val="0"/>
        <w:adjustRightInd/>
        <w:snapToGrid/>
        <w:spacing w:before="157" w:beforeLines="50" w:beforeAutospacing="0" w:after="157" w:afterLines="50" w:afterAutospacing="0" w:line="580" w:lineRule="exact"/>
        <w:ind w:left="0" w:leftChars="0" w:right="0" w:rightChars="0" w:firstLine="643" w:firstLineChars="200"/>
        <w:jc w:val="center"/>
        <w:textAlignment w:val="auto"/>
        <w:outlineLvl w:val="1"/>
        <w:rPr>
          <w:rFonts w:hint="eastAsia" w:ascii="仿宋_GB2312" w:hAnsi="仿宋_GB2312" w:eastAsia="仿宋_GB2312" w:cs="仿宋_GB2312"/>
          <w:b/>
          <w:bCs/>
          <w:kern w:val="2"/>
          <w:sz w:val="32"/>
          <w:szCs w:val="32"/>
          <w:highlight w:val="none"/>
          <w:lang w:eastAsia="zh-CN"/>
        </w:rPr>
      </w:pPr>
      <w:r>
        <w:rPr>
          <w:rFonts w:hint="eastAsia" w:ascii="仿宋_GB2312" w:hAnsi="仿宋_GB2312" w:eastAsia="仿宋_GB2312" w:cs="仿宋_GB2312"/>
          <w:b/>
          <w:bCs/>
          <w:kern w:val="2"/>
          <w:sz w:val="32"/>
          <w:szCs w:val="32"/>
          <w:highlight w:val="none"/>
          <w:lang w:val="en-US" w:eastAsia="zh-CN"/>
        </w:rPr>
        <w:t xml:space="preserve">第三章  </w:t>
      </w:r>
      <w:r>
        <w:rPr>
          <w:rFonts w:hint="eastAsia" w:ascii="仿宋_GB2312" w:hAnsi="仿宋_GB2312" w:eastAsia="仿宋_GB2312" w:cs="仿宋_GB2312"/>
          <w:b/>
          <w:bCs/>
          <w:kern w:val="2"/>
          <w:sz w:val="32"/>
          <w:szCs w:val="32"/>
          <w:highlight w:val="none"/>
          <w:lang w:eastAsia="zh-CN"/>
        </w:rPr>
        <w:t>权利和义务</w:t>
      </w:r>
    </w:p>
    <w:p w14:paraId="6F4C6F6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0" w:firstLineChars="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b/>
          <w:kern w:val="2"/>
          <w:sz w:val="32"/>
          <w:szCs w:val="32"/>
          <w:highlight w:val="none"/>
          <w:lang w:val="en-US" w:eastAsia="zh-CN" w:bidi="ar-SA"/>
        </w:rPr>
        <w:t xml:space="preserve">    第四条 </w:t>
      </w:r>
      <w:r>
        <w:rPr>
          <w:rFonts w:hint="eastAsia" w:ascii="仿宋_GB2312" w:hAnsi="仿宋_GB2312" w:eastAsia="仿宋_GB2312" w:cs="仿宋_GB2312"/>
          <w:kern w:val="2"/>
          <w:sz w:val="32"/>
          <w:szCs w:val="32"/>
          <w:highlight w:val="none"/>
          <w:lang w:eastAsia="zh-CN"/>
        </w:rPr>
        <w:t>甲方的权利：</w:t>
      </w:r>
    </w:p>
    <w:p w14:paraId="082144D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eastAsia="zh-CN"/>
        </w:rPr>
        <w:t>获得乙方履行本合同义务相关的信息、资料。</w:t>
      </w:r>
    </w:p>
    <w:p w14:paraId="2EDD411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lang w:eastAsia="zh-CN"/>
        </w:rPr>
        <w:t>.根据本合同约定向乙方收取违约金和赔偿金。</w:t>
      </w:r>
    </w:p>
    <w:p w14:paraId="79DEF67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0" w:firstLineChars="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b/>
          <w:kern w:val="2"/>
          <w:sz w:val="32"/>
          <w:szCs w:val="32"/>
          <w:highlight w:val="none"/>
          <w:lang w:val="en-US" w:eastAsia="zh-CN" w:bidi="ar-SA"/>
        </w:rPr>
        <w:t xml:space="preserve">    第五条 </w:t>
      </w:r>
      <w:r>
        <w:rPr>
          <w:rFonts w:hint="eastAsia" w:ascii="仿宋_GB2312" w:hAnsi="仿宋_GB2312" w:eastAsia="仿宋_GB2312" w:cs="仿宋_GB2312"/>
          <w:kern w:val="2"/>
          <w:sz w:val="32"/>
          <w:szCs w:val="32"/>
          <w:highlight w:val="none"/>
          <w:lang w:eastAsia="zh-CN"/>
        </w:rPr>
        <w:t>甲方的义务：</w:t>
      </w:r>
    </w:p>
    <w:p w14:paraId="3D439A3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eastAsia="zh-CN"/>
        </w:rPr>
        <w:t>根据历史</w:t>
      </w:r>
      <w:r>
        <w:rPr>
          <w:rFonts w:hint="eastAsia" w:ascii="仿宋_GB2312" w:hAnsi="仿宋_GB2312" w:eastAsia="仿宋_GB2312" w:cs="仿宋_GB2312"/>
          <w:kern w:val="2"/>
          <w:sz w:val="32"/>
          <w:szCs w:val="32"/>
          <w:highlight w:val="none"/>
          <w:lang w:val="en-US" w:eastAsia="zh-CN"/>
        </w:rPr>
        <w:t>发</w:t>
      </w:r>
      <w:r>
        <w:rPr>
          <w:rFonts w:hint="eastAsia" w:ascii="仿宋_GB2312" w:hAnsi="仿宋_GB2312" w:eastAsia="仿宋_GB2312" w:cs="仿宋_GB2312"/>
          <w:kern w:val="2"/>
          <w:sz w:val="32"/>
          <w:szCs w:val="32"/>
          <w:highlight w:val="none"/>
          <w:lang w:eastAsia="zh-CN"/>
        </w:rPr>
        <w:t>电数据、预测上网电量，向乙方提供</w:t>
      </w:r>
      <w:r>
        <w:rPr>
          <w:rFonts w:hint="eastAsia" w:ascii="仿宋_GB2312" w:hAnsi="仿宋_GB2312" w:eastAsia="仿宋_GB2312" w:cs="仿宋_GB2312"/>
          <w:kern w:val="2"/>
          <w:sz w:val="32"/>
          <w:szCs w:val="32"/>
          <w:highlight w:val="none"/>
          <w:lang w:val="en-US" w:eastAsia="zh-CN"/>
        </w:rPr>
        <w:t>聚合</w:t>
      </w:r>
      <w:r>
        <w:rPr>
          <w:rFonts w:hint="eastAsia" w:ascii="仿宋_GB2312" w:hAnsi="仿宋_GB2312" w:eastAsia="仿宋_GB2312" w:cs="仿宋_GB2312"/>
          <w:kern w:val="2"/>
          <w:sz w:val="32"/>
          <w:szCs w:val="32"/>
          <w:highlight w:val="none"/>
          <w:lang w:eastAsia="zh-CN"/>
        </w:rPr>
        <w:t>代理</w:t>
      </w:r>
      <w:r>
        <w:rPr>
          <w:rFonts w:hint="eastAsia" w:ascii="仿宋_GB2312" w:hAnsi="仿宋_GB2312" w:eastAsia="仿宋_GB2312" w:cs="仿宋_GB2312"/>
          <w:kern w:val="2"/>
          <w:sz w:val="32"/>
          <w:szCs w:val="32"/>
          <w:highlight w:val="none"/>
          <w:lang w:val="en-US" w:eastAsia="zh-CN"/>
        </w:rPr>
        <w:t>参与市场交易所需电量、</w:t>
      </w:r>
      <w:r>
        <w:rPr>
          <w:rFonts w:hint="eastAsia" w:ascii="仿宋_GB2312" w:hAnsi="仿宋_GB2312" w:eastAsia="仿宋_GB2312" w:cs="仿宋_GB2312"/>
          <w:kern w:val="2"/>
          <w:sz w:val="32"/>
          <w:szCs w:val="32"/>
          <w:highlight w:val="none"/>
          <w:lang w:eastAsia="zh-CN"/>
        </w:rPr>
        <w:t>项目</w:t>
      </w:r>
      <w:r>
        <w:rPr>
          <w:rFonts w:hint="eastAsia" w:ascii="仿宋_GB2312" w:hAnsi="仿宋_GB2312" w:eastAsia="仿宋_GB2312" w:cs="仿宋_GB2312"/>
          <w:kern w:val="2"/>
          <w:sz w:val="32"/>
          <w:szCs w:val="32"/>
          <w:highlight w:val="none"/>
          <w:lang w:val="en-US" w:eastAsia="zh-CN"/>
        </w:rPr>
        <w:t>类型等信息</w:t>
      </w:r>
      <w:r>
        <w:rPr>
          <w:rFonts w:hint="eastAsia" w:ascii="仿宋_GB2312" w:hAnsi="仿宋_GB2312" w:eastAsia="仿宋_GB2312" w:cs="仿宋_GB2312"/>
          <w:kern w:val="2"/>
          <w:sz w:val="32"/>
          <w:szCs w:val="32"/>
          <w:highlight w:val="none"/>
          <w:lang w:eastAsia="zh-CN"/>
        </w:rPr>
        <w:t>。</w:t>
      </w:r>
    </w:p>
    <w:p w14:paraId="7EB30A8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lang w:eastAsia="zh-CN"/>
        </w:rPr>
        <w:t>向乙方提供履行本合同有关的计量数据、</w:t>
      </w:r>
      <w:r>
        <w:rPr>
          <w:rFonts w:hint="eastAsia" w:ascii="仿宋_GB2312" w:hAnsi="仿宋_GB2312" w:eastAsia="仿宋_GB2312" w:cs="仿宋_GB2312"/>
          <w:kern w:val="2"/>
          <w:sz w:val="32"/>
          <w:szCs w:val="32"/>
          <w:highlight w:val="none"/>
          <w:lang w:val="en-US" w:eastAsia="zh-CN"/>
        </w:rPr>
        <w:t>发电</w:t>
      </w:r>
      <w:r>
        <w:rPr>
          <w:rFonts w:hint="eastAsia" w:ascii="仿宋_GB2312" w:hAnsi="仿宋_GB2312" w:eastAsia="仿宋_GB2312" w:cs="仿宋_GB2312"/>
          <w:kern w:val="2"/>
          <w:sz w:val="32"/>
          <w:szCs w:val="32"/>
          <w:highlight w:val="none"/>
          <w:lang w:eastAsia="zh-CN"/>
        </w:rPr>
        <w:t>户号、电压等级、</w:t>
      </w:r>
      <w:r>
        <w:rPr>
          <w:rFonts w:hint="eastAsia" w:ascii="仿宋_GB2312" w:hAnsi="仿宋_GB2312" w:eastAsia="仿宋_GB2312" w:cs="仿宋_GB2312"/>
          <w:kern w:val="2"/>
          <w:sz w:val="32"/>
          <w:szCs w:val="32"/>
          <w:highlight w:val="none"/>
          <w:lang w:val="en-US" w:eastAsia="zh-CN"/>
        </w:rPr>
        <w:t>可再生能源项目编码</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发电</w:t>
      </w:r>
      <w:r>
        <w:rPr>
          <w:rFonts w:hint="eastAsia" w:ascii="仿宋_GB2312" w:hAnsi="仿宋_GB2312" w:eastAsia="仿宋_GB2312" w:cs="仿宋_GB2312"/>
          <w:kern w:val="2"/>
          <w:sz w:val="32"/>
          <w:szCs w:val="32"/>
          <w:highlight w:val="none"/>
          <w:lang w:eastAsia="zh-CN"/>
        </w:rPr>
        <w:t>户号、电压等级以交易平台的</w:t>
      </w:r>
      <w:r>
        <w:rPr>
          <w:rFonts w:hint="eastAsia" w:ascii="仿宋_GB2312" w:hAnsi="仿宋_GB2312" w:eastAsia="仿宋_GB2312" w:cs="仿宋_GB2312"/>
          <w:kern w:val="2"/>
          <w:sz w:val="32"/>
          <w:szCs w:val="32"/>
          <w:highlight w:val="none"/>
          <w:lang w:val="en-US" w:eastAsia="zh-CN"/>
        </w:rPr>
        <w:t>注册</w:t>
      </w:r>
      <w:r>
        <w:rPr>
          <w:rFonts w:hint="eastAsia" w:ascii="仿宋_GB2312" w:hAnsi="仿宋_GB2312" w:eastAsia="仿宋_GB2312" w:cs="仿宋_GB2312"/>
          <w:kern w:val="2"/>
          <w:sz w:val="32"/>
          <w:szCs w:val="32"/>
          <w:highlight w:val="none"/>
          <w:lang w:eastAsia="zh-CN"/>
        </w:rPr>
        <w:t>信息为准）。</w:t>
      </w:r>
    </w:p>
    <w:p w14:paraId="3C91F43A">
      <w:pPr>
        <w:widowControl w:val="0"/>
        <w:spacing w:before="0" w:beforeLines="0" w:after="0" w:afterLines="0" w:line="560" w:lineRule="exact"/>
        <w:ind w:left="720" w:firstLine="0" w:firstLineChars="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3.根据本合同约定向乙方支付违约金和赔偿金。</w:t>
      </w:r>
    </w:p>
    <w:p w14:paraId="3A69C81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0" w:firstLineChars="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b/>
          <w:kern w:val="2"/>
          <w:sz w:val="32"/>
          <w:szCs w:val="32"/>
          <w:highlight w:val="none"/>
          <w:lang w:val="en-US" w:eastAsia="zh-CN" w:bidi="ar-SA"/>
        </w:rPr>
        <w:t xml:space="preserve">    第六条 </w:t>
      </w:r>
      <w:r>
        <w:rPr>
          <w:rFonts w:hint="eastAsia" w:ascii="仿宋_GB2312" w:hAnsi="仿宋_GB2312" w:eastAsia="仿宋_GB2312" w:cs="仿宋_GB2312"/>
          <w:kern w:val="2"/>
          <w:sz w:val="32"/>
          <w:szCs w:val="32"/>
          <w:highlight w:val="none"/>
          <w:lang w:eastAsia="zh-CN"/>
        </w:rPr>
        <w:t>乙方的权利：</w:t>
      </w:r>
    </w:p>
    <w:p w14:paraId="0618AC0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eastAsia="zh-CN"/>
        </w:rPr>
        <w:t>要求甲方提供履行本合同义务相关的信息、资料及查阅关口计量数据。</w:t>
      </w:r>
    </w:p>
    <w:p w14:paraId="4BABF42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160" w:leftChars="50" w:right="160" w:rightChars="50"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SA"/>
        </w:rPr>
        <w:t>2.</w:t>
      </w:r>
      <w:r>
        <w:rPr>
          <w:rFonts w:hint="eastAsia" w:ascii="仿宋_GB2312" w:hAnsi="仿宋_GB2312" w:eastAsia="仿宋_GB2312" w:cs="仿宋_GB2312"/>
          <w:kern w:val="0"/>
          <w:sz w:val="32"/>
          <w:szCs w:val="32"/>
          <w:highlight w:val="none"/>
          <w:lang w:val="en-US" w:eastAsia="zh-CN" w:bidi="ar"/>
        </w:rPr>
        <w:t>查阅甲方的所聚合分布式新能源项目电费结算单</w:t>
      </w:r>
    </w:p>
    <w:p w14:paraId="076298C8">
      <w:pPr>
        <w:keepNext w:val="0"/>
        <w:keepLines w:val="0"/>
        <w:pageBreakBefore w:val="0"/>
        <w:widowControl w:val="0"/>
        <w:kinsoku/>
        <w:wordWrap/>
        <w:overflowPunct/>
        <w:topLinePunct w:val="0"/>
        <w:autoSpaceDE/>
        <w:autoSpaceDN/>
        <w:bidi w:val="0"/>
        <w:adjustRightInd/>
        <w:snapToGrid/>
        <w:spacing w:before="0" w:beforeLines="-2147483648" w:after="0" w:afterLines="-2147483648" w:line="560" w:lineRule="exact"/>
        <w:ind w:left="160" w:leftChars="50" w:right="160" w:rightChars="50"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3.有权要求甲方及时通报自身的发电项目并网、转让、关停或搬迁等可能影响电力市场交易的情况。</w:t>
      </w:r>
    </w:p>
    <w:p w14:paraId="0AF13D9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4</w:t>
      </w:r>
      <w:r>
        <w:rPr>
          <w:rFonts w:hint="eastAsia" w:ascii="仿宋_GB2312" w:hAnsi="仿宋_GB2312" w:eastAsia="仿宋_GB2312" w:cs="仿宋_GB2312"/>
          <w:kern w:val="2"/>
          <w:sz w:val="32"/>
          <w:szCs w:val="32"/>
          <w:highlight w:val="none"/>
          <w:lang w:eastAsia="zh-CN"/>
        </w:rPr>
        <w:t>.根据本合同约定向</w:t>
      </w:r>
      <w:r>
        <w:rPr>
          <w:rFonts w:hint="eastAsia" w:ascii="仿宋_GB2312" w:hAnsi="仿宋_GB2312" w:eastAsia="仿宋_GB2312" w:cs="仿宋_GB2312"/>
          <w:kern w:val="2"/>
          <w:sz w:val="32"/>
          <w:szCs w:val="32"/>
          <w:highlight w:val="none"/>
          <w:lang w:val="en-US" w:eastAsia="zh-CN"/>
        </w:rPr>
        <w:t>甲</w:t>
      </w:r>
      <w:r>
        <w:rPr>
          <w:rFonts w:hint="eastAsia" w:ascii="仿宋_GB2312" w:hAnsi="仿宋_GB2312" w:eastAsia="仿宋_GB2312" w:cs="仿宋_GB2312"/>
          <w:kern w:val="2"/>
          <w:sz w:val="32"/>
          <w:szCs w:val="32"/>
          <w:highlight w:val="none"/>
          <w:lang w:eastAsia="zh-CN"/>
        </w:rPr>
        <w:t>方收取违约金和赔偿金。</w:t>
      </w:r>
    </w:p>
    <w:p w14:paraId="4516DF6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0" w:firstLineChars="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b/>
          <w:kern w:val="2"/>
          <w:sz w:val="32"/>
          <w:szCs w:val="32"/>
          <w:highlight w:val="none"/>
          <w:lang w:val="en-US" w:eastAsia="zh-CN" w:bidi="ar-SA"/>
        </w:rPr>
        <w:t xml:space="preserve">    第七条 </w:t>
      </w:r>
      <w:r>
        <w:rPr>
          <w:rFonts w:hint="eastAsia" w:ascii="仿宋_GB2312" w:hAnsi="仿宋_GB2312" w:eastAsia="仿宋_GB2312" w:cs="仿宋_GB2312"/>
          <w:kern w:val="2"/>
          <w:sz w:val="32"/>
          <w:szCs w:val="32"/>
          <w:highlight w:val="none"/>
          <w:lang w:eastAsia="zh-CN"/>
        </w:rPr>
        <w:t>乙方的义务：</w:t>
      </w:r>
    </w:p>
    <w:p w14:paraId="06EAAED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eastAsia="zh-CN"/>
        </w:rPr>
        <w:t>按照宁夏电力市场相关规则，聚合分布式新能源参与电力市场交易。</w:t>
      </w:r>
    </w:p>
    <w:p w14:paraId="667CD17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2.</w:t>
      </w:r>
      <w:r>
        <w:rPr>
          <w:rFonts w:hint="eastAsia" w:ascii="仿宋_GB2312" w:hAnsi="仿宋_GB2312" w:eastAsia="仿宋_GB2312" w:cs="仿宋_GB2312"/>
          <w:kern w:val="2"/>
          <w:sz w:val="32"/>
          <w:szCs w:val="32"/>
          <w:highlight w:val="none"/>
          <w:lang w:eastAsia="zh-CN"/>
        </w:rPr>
        <w:t>向甲方提供真实准确的有关电力市场的相关信息及资料，不得提供虚假的或误导性的信息。</w:t>
      </w:r>
    </w:p>
    <w:p w14:paraId="3F84662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eastAsia="zh-CN"/>
        </w:rPr>
        <w:t>对甲方的相关数据和资料承担相关保密义务。</w:t>
      </w:r>
    </w:p>
    <w:p w14:paraId="083F62F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160" w:leftChars="50" w:right="160" w:rightChars="5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w:t>
      </w:r>
      <w:r>
        <w:rPr>
          <w:rFonts w:hint="eastAsia" w:ascii="仿宋_GB2312" w:hAnsi="仿宋_GB2312" w:eastAsia="仿宋_GB2312" w:cs="仿宋_GB2312"/>
          <w:kern w:val="0"/>
          <w:sz w:val="32"/>
          <w:szCs w:val="32"/>
          <w:highlight w:val="none"/>
          <w:lang w:val="en-US" w:eastAsia="zh-CN" w:bidi="ar"/>
        </w:rPr>
        <w:t>协助甲方申请办理电力市场交易有关手续。</w:t>
      </w:r>
    </w:p>
    <w:p w14:paraId="18603D4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5.</w:t>
      </w:r>
      <w:r>
        <w:rPr>
          <w:rFonts w:hint="eastAsia" w:ascii="仿宋_GB2312" w:hAnsi="仿宋_GB2312" w:eastAsia="仿宋_GB2312" w:cs="仿宋_GB2312"/>
          <w:kern w:val="2"/>
          <w:sz w:val="32"/>
          <w:szCs w:val="32"/>
          <w:highlight w:val="none"/>
          <w:lang w:eastAsia="zh-CN"/>
        </w:rPr>
        <w:t>向甲方、电网企业及交易机构提供与履行本合同相关的其他信息。</w:t>
      </w:r>
    </w:p>
    <w:p w14:paraId="6ADDB03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val="en-US" w:eastAsia="zh-CN"/>
        </w:rPr>
        <w:t>6</w:t>
      </w:r>
      <w:r>
        <w:rPr>
          <w:rFonts w:hint="eastAsia" w:ascii="仿宋_GB2312" w:hAnsi="仿宋_GB2312" w:eastAsia="仿宋_GB2312" w:cs="仿宋_GB2312"/>
          <w:kern w:val="2"/>
          <w:sz w:val="32"/>
          <w:szCs w:val="32"/>
          <w:highlight w:val="none"/>
          <w:lang w:eastAsia="zh-CN"/>
        </w:rPr>
        <w:t>.根据本合同约定向甲方支付违约金和赔偿金。</w:t>
      </w:r>
    </w:p>
    <w:p w14:paraId="6C6C22A8">
      <w:pPr>
        <w:keepNext w:val="0"/>
        <w:keepLines w:val="0"/>
        <w:pageBreakBefore w:val="0"/>
        <w:widowControl w:val="0"/>
        <w:numPr>
          <w:ilvl w:val="-1"/>
          <w:numId w:val="0"/>
        </w:numPr>
        <w:kinsoku/>
        <w:wordWrap/>
        <w:overflowPunct/>
        <w:topLinePunct w:val="0"/>
        <w:autoSpaceDE/>
        <w:autoSpaceDN/>
        <w:bidi w:val="0"/>
        <w:adjustRightInd/>
        <w:snapToGrid/>
        <w:spacing w:before="157" w:beforeLines="50" w:beforeAutospacing="0" w:after="157" w:afterLines="50" w:afterAutospacing="0" w:line="580" w:lineRule="exact"/>
        <w:ind w:left="0" w:leftChars="0" w:right="0" w:rightChars="0" w:firstLine="643" w:firstLineChars="200"/>
        <w:jc w:val="center"/>
        <w:textAlignment w:val="auto"/>
        <w:outlineLvl w:val="1"/>
        <w:rPr>
          <w:rFonts w:hint="eastAsia" w:ascii="仿宋_GB2312" w:hAnsi="仿宋_GB2312" w:eastAsia="仿宋_GB2312" w:cs="仿宋_GB2312"/>
          <w:b/>
          <w:bCs/>
          <w:kern w:val="2"/>
          <w:sz w:val="32"/>
          <w:szCs w:val="32"/>
          <w:highlight w:val="none"/>
          <w:lang w:eastAsia="zh-CN"/>
        </w:rPr>
      </w:pPr>
      <w:r>
        <w:rPr>
          <w:rFonts w:hint="eastAsia" w:ascii="仿宋_GB2312" w:hAnsi="仿宋_GB2312" w:eastAsia="仿宋_GB2312" w:cs="仿宋_GB2312"/>
          <w:b/>
          <w:bCs/>
          <w:kern w:val="2"/>
          <w:sz w:val="32"/>
          <w:szCs w:val="32"/>
          <w:highlight w:val="none"/>
          <w:lang w:val="en-US" w:eastAsia="zh-CN"/>
        </w:rPr>
        <w:t xml:space="preserve">第四章  </w:t>
      </w:r>
      <w:r>
        <w:rPr>
          <w:rFonts w:hint="eastAsia" w:ascii="仿宋_GB2312" w:hAnsi="仿宋_GB2312" w:eastAsia="仿宋_GB2312" w:cs="仿宋_GB2312"/>
          <w:b/>
          <w:bCs/>
          <w:kern w:val="2"/>
          <w:sz w:val="32"/>
          <w:szCs w:val="32"/>
          <w:highlight w:val="none"/>
          <w:lang w:eastAsia="zh-CN"/>
        </w:rPr>
        <w:t>代理期及聚合套餐</w:t>
      </w:r>
    </w:p>
    <w:p w14:paraId="4BD5671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0" w:firstLineChars="0"/>
        <w:jc w:val="left"/>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b/>
          <w:kern w:val="2"/>
          <w:sz w:val="32"/>
          <w:szCs w:val="32"/>
          <w:highlight w:val="none"/>
          <w:lang w:val="en-US" w:eastAsia="zh-CN" w:bidi="ar-SA"/>
        </w:rPr>
        <w:t xml:space="preserve">    第八条 </w:t>
      </w:r>
      <w:r>
        <w:rPr>
          <w:rFonts w:hint="eastAsia" w:ascii="仿宋_GB2312" w:hAnsi="仿宋_GB2312" w:eastAsia="仿宋_GB2312" w:cs="仿宋_GB2312"/>
          <w:kern w:val="2"/>
          <w:sz w:val="32"/>
          <w:szCs w:val="32"/>
          <w:highlight w:val="none"/>
          <w:lang w:eastAsia="zh-CN"/>
        </w:rPr>
        <w:t>甲乙双方聚合</w:t>
      </w:r>
      <w:r>
        <w:rPr>
          <w:rFonts w:hint="eastAsia" w:ascii="仿宋_GB2312" w:hAnsi="仿宋_GB2312" w:eastAsia="仿宋_GB2312" w:cs="仿宋_GB2312"/>
          <w:kern w:val="2"/>
          <w:sz w:val="32"/>
          <w:szCs w:val="32"/>
          <w:highlight w:val="none"/>
          <w:lang w:val="en-US" w:eastAsia="zh-CN"/>
        </w:rPr>
        <w:t>代理</w:t>
      </w:r>
      <w:r>
        <w:rPr>
          <w:rFonts w:hint="eastAsia" w:ascii="仿宋_GB2312" w:hAnsi="仿宋_GB2312" w:eastAsia="仿宋_GB2312" w:cs="仿宋_GB2312"/>
          <w:kern w:val="2"/>
          <w:sz w:val="32"/>
          <w:szCs w:val="32"/>
          <w:highlight w:val="none"/>
          <w:lang w:eastAsia="zh-CN"/>
        </w:rPr>
        <w:t>合同有效期自</w:t>
      </w:r>
      <w:r>
        <w:rPr>
          <w:rFonts w:hint="eastAsia" w:ascii="仿宋_GB2312" w:hAnsi="仿宋_GB2312" w:eastAsia="仿宋_GB2312" w:cs="仿宋_GB2312"/>
          <w:kern w:val="2"/>
          <w:sz w:val="32"/>
          <w:szCs w:val="32"/>
          <w:highlight w:val="none"/>
          <w:u w:val="single"/>
          <w:lang w:eastAsia="zh-CN"/>
        </w:rPr>
        <w:t xml:space="preserve">     </w:t>
      </w:r>
      <w:r>
        <w:rPr>
          <w:rFonts w:hint="eastAsia" w:ascii="仿宋_GB2312" w:hAnsi="仿宋_GB2312" w:eastAsia="仿宋_GB2312" w:cs="仿宋_GB2312"/>
          <w:kern w:val="2"/>
          <w:sz w:val="32"/>
          <w:szCs w:val="32"/>
          <w:highlight w:val="none"/>
          <w:lang w:eastAsia="zh-CN"/>
        </w:rPr>
        <w:t>年</w:t>
      </w:r>
      <w:r>
        <w:rPr>
          <w:rFonts w:hint="eastAsia" w:ascii="仿宋_GB2312" w:hAnsi="仿宋_GB2312" w:eastAsia="仿宋_GB2312" w:cs="仿宋_GB2312"/>
          <w:kern w:val="2"/>
          <w:sz w:val="32"/>
          <w:szCs w:val="32"/>
          <w:highlight w:val="none"/>
          <w:u w:val="single"/>
          <w:lang w:eastAsia="zh-CN"/>
        </w:rPr>
        <w:t xml:space="preserve"> </w:t>
      </w:r>
      <w:r>
        <w:rPr>
          <w:rFonts w:hint="eastAsia" w:ascii="仿宋_GB2312" w:hAnsi="仿宋_GB2312" w:eastAsia="仿宋_GB2312" w:cs="仿宋_GB2312"/>
          <w:kern w:val="2"/>
          <w:sz w:val="32"/>
          <w:szCs w:val="32"/>
          <w:highlight w:val="none"/>
          <w:u w:val="single"/>
          <w:lang w:val="en-US" w:eastAsia="zh-CN"/>
        </w:rPr>
        <w:t xml:space="preserve"> </w:t>
      </w:r>
      <w:r>
        <w:rPr>
          <w:rFonts w:hint="eastAsia" w:ascii="仿宋_GB2312" w:hAnsi="仿宋_GB2312" w:eastAsia="仿宋_GB2312" w:cs="仿宋_GB2312"/>
          <w:kern w:val="2"/>
          <w:sz w:val="32"/>
          <w:szCs w:val="32"/>
          <w:highlight w:val="none"/>
          <w:u w:val="single"/>
          <w:lang w:eastAsia="zh-CN"/>
        </w:rPr>
        <w:t xml:space="preserve">   </w:t>
      </w:r>
      <w:r>
        <w:rPr>
          <w:rFonts w:hint="eastAsia" w:ascii="仿宋_GB2312" w:hAnsi="仿宋_GB2312" w:eastAsia="仿宋_GB2312" w:cs="仿宋_GB2312"/>
          <w:kern w:val="2"/>
          <w:sz w:val="32"/>
          <w:szCs w:val="32"/>
          <w:highlight w:val="none"/>
          <w:lang w:eastAsia="zh-CN"/>
        </w:rPr>
        <w:t>月</w:t>
      </w:r>
      <w:r>
        <w:rPr>
          <w:rFonts w:hint="eastAsia" w:ascii="仿宋_GB2312" w:hAnsi="仿宋_GB2312" w:eastAsia="仿宋_GB2312" w:cs="仿宋_GB2312"/>
          <w:kern w:val="2"/>
          <w:sz w:val="32"/>
          <w:szCs w:val="32"/>
          <w:highlight w:val="none"/>
          <w:u w:val="single"/>
          <w:lang w:eastAsia="zh-CN"/>
        </w:rPr>
        <w:t xml:space="preserve">     </w:t>
      </w:r>
      <w:r>
        <w:rPr>
          <w:rFonts w:hint="eastAsia" w:ascii="仿宋_GB2312" w:hAnsi="仿宋_GB2312" w:eastAsia="仿宋_GB2312" w:cs="仿宋_GB2312"/>
          <w:kern w:val="2"/>
          <w:sz w:val="32"/>
          <w:szCs w:val="32"/>
          <w:highlight w:val="none"/>
          <w:lang w:eastAsia="zh-CN"/>
        </w:rPr>
        <w:t>日起至</w:t>
      </w:r>
      <w:r>
        <w:rPr>
          <w:rFonts w:hint="eastAsia" w:ascii="仿宋_GB2312" w:hAnsi="仿宋_GB2312" w:eastAsia="仿宋_GB2312" w:cs="仿宋_GB2312"/>
          <w:kern w:val="2"/>
          <w:sz w:val="32"/>
          <w:szCs w:val="32"/>
          <w:highlight w:val="none"/>
          <w:u w:val="single"/>
          <w:lang w:eastAsia="zh-CN"/>
        </w:rPr>
        <w:t xml:space="preserve">     </w:t>
      </w:r>
      <w:r>
        <w:rPr>
          <w:rFonts w:hint="eastAsia" w:ascii="仿宋_GB2312" w:hAnsi="仿宋_GB2312" w:eastAsia="仿宋_GB2312" w:cs="仿宋_GB2312"/>
          <w:kern w:val="2"/>
          <w:sz w:val="32"/>
          <w:szCs w:val="32"/>
          <w:highlight w:val="none"/>
          <w:lang w:eastAsia="zh-CN"/>
        </w:rPr>
        <w:t>年</w:t>
      </w:r>
      <w:r>
        <w:rPr>
          <w:rFonts w:hint="eastAsia" w:ascii="仿宋_GB2312" w:hAnsi="仿宋_GB2312" w:eastAsia="仿宋_GB2312" w:cs="仿宋_GB2312"/>
          <w:kern w:val="2"/>
          <w:sz w:val="32"/>
          <w:szCs w:val="32"/>
          <w:highlight w:val="none"/>
          <w:u w:val="single"/>
          <w:lang w:eastAsia="zh-CN"/>
        </w:rPr>
        <w:t xml:space="preserve">     </w:t>
      </w:r>
      <w:r>
        <w:rPr>
          <w:rFonts w:hint="eastAsia" w:ascii="仿宋_GB2312" w:hAnsi="仿宋_GB2312" w:eastAsia="仿宋_GB2312" w:cs="仿宋_GB2312"/>
          <w:kern w:val="2"/>
          <w:sz w:val="32"/>
          <w:szCs w:val="32"/>
          <w:highlight w:val="none"/>
          <w:lang w:eastAsia="zh-CN"/>
        </w:rPr>
        <w:t>月</w:t>
      </w:r>
      <w:r>
        <w:rPr>
          <w:rFonts w:hint="eastAsia" w:ascii="仿宋_GB2312" w:hAnsi="仿宋_GB2312" w:eastAsia="仿宋_GB2312" w:cs="仿宋_GB2312"/>
          <w:kern w:val="2"/>
          <w:sz w:val="32"/>
          <w:szCs w:val="32"/>
          <w:highlight w:val="none"/>
          <w:u w:val="single"/>
          <w:lang w:eastAsia="zh-CN"/>
        </w:rPr>
        <w:t xml:space="preserve">     </w:t>
      </w:r>
      <w:r>
        <w:rPr>
          <w:rFonts w:hint="eastAsia" w:ascii="仿宋_GB2312" w:hAnsi="仿宋_GB2312" w:eastAsia="仿宋_GB2312" w:cs="仿宋_GB2312"/>
          <w:kern w:val="2"/>
          <w:sz w:val="32"/>
          <w:szCs w:val="32"/>
          <w:highlight w:val="none"/>
          <w:lang w:eastAsia="zh-CN"/>
        </w:rPr>
        <w:t>日止，最小执行周期为一个自然月。电量及分月计划、价格信息以双方在</w:t>
      </w:r>
      <w:r>
        <w:rPr>
          <w:rFonts w:hint="eastAsia" w:ascii="仿宋_GB2312" w:hAnsi="仿宋_GB2312" w:eastAsia="仿宋_GB2312" w:cs="仿宋_GB2312"/>
          <w:kern w:val="2"/>
          <w:sz w:val="32"/>
          <w:szCs w:val="32"/>
          <w:highlight w:val="none"/>
          <w:lang w:val="en-US" w:eastAsia="zh-CN"/>
        </w:rPr>
        <w:t>电力</w:t>
      </w:r>
      <w:r>
        <w:rPr>
          <w:rFonts w:hint="eastAsia" w:ascii="仿宋_GB2312" w:hAnsi="仿宋_GB2312" w:eastAsia="仿宋_GB2312" w:cs="仿宋_GB2312"/>
          <w:kern w:val="2"/>
          <w:sz w:val="32"/>
          <w:szCs w:val="32"/>
          <w:highlight w:val="none"/>
          <w:lang w:eastAsia="zh-CN"/>
        </w:rPr>
        <w:t>交易平台填报且确认的结构化数据为准。</w:t>
      </w:r>
    </w:p>
    <w:p w14:paraId="0B5C581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3" w:firstLineChars="200"/>
        <w:jc w:val="left"/>
        <w:textAlignment w:val="auto"/>
        <w:outlineLvl w:val="9"/>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bidi="ar-SA"/>
        </w:rPr>
        <w:t>第九条</w:t>
      </w:r>
      <w:r>
        <w:rPr>
          <w:rFonts w:hint="eastAsia" w:ascii="仿宋_GB2312" w:hAnsi="仿宋_GB2312" w:eastAsia="仿宋_GB2312" w:cs="仿宋_GB2312"/>
          <w:kern w:val="2"/>
          <w:sz w:val="32"/>
          <w:szCs w:val="32"/>
          <w:highlight w:val="none"/>
          <w:lang w:val="en-US" w:eastAsia="zh-CN"/>
        </w:rPr>
        <w:t xml:space="preserve"> 甲乙双方同意合同有效期内按照双方在宁夏电力交易平台确定的聚合套餐类型及参数信息进行电费结算。</w:t>
      </w:r>
    </w:p>
    <w:p w14:paraId="5D98AD47">
      <w:pPr>
        <w:keepNext w:val="0"/>
        <w:keepLines w:val="0"/>
        <w:pageBreakBefore w:val="0"/>
        <w:widowControl w:val="0"/>
        <w:numPr>
          <w:ilvl w:val="-1"/>
          <w:numId w:val="0"/>
        </w:numPr>
        <w:kinsoku/>
        <w:wordWrap/>
        <w:overflowPunct/>
        <w:topLinePunct w:val="0"/>
        <w:autoSpaceDE/>
        <w:autoSpaceDN/>
        <w:bidi w:val="0"/>
        <w:adjustRightInd/>
        <w:snapToGrid/>
        <w:spacing w:before="157" w:beforeLines="50" w:beforeAutospacing="0" w:after="157" w:afterLines="50" w:afterAutospacing="0" w:line="580" w:lineRule="exact"/>
        <w:ind w:left="0" w:leftChars="0" w:right="0" w:rightChars="0" w:firstLine="643" w:firstLineChars="200"/>
        <w:jc w:val="center"/>
        <w:textAlignment w:val="auto"/>
        <w:outlineLvl w:val="1"/>
        <w:rPr>
          <w:rFonts w:hint="eastAsia" w:ascii="仿宋_GB2312" w:hAnsi="仿宋_GB2312" w:eastAsia="仿宋_GB2312" w:cs="仿宋_GB2312"/>
          <w:b/>
          <w:bCs/>
          <w:kern w:val="2"/>
          <w:sz w:val="32"/>
          <w:szCs w:val="32"/>
          <w:highlight w:val="none"/>
          <w:lang w:eastAsia="zh-CN"/>
        </w:rPr>
      </w:pPr>
      <w:r>
        <w:rPr>
          <w:rFonts w:hint="eastAsia" w:ascii="仿宋_GB2312" w:hAnsi="仿宋_GB2312" w:eastAsia="仿宋_GB2312" w:cs="仿宋_GB2312"/>
          <w:b/>
          <w:bCs/>
          <w:kern w:val="2"/>
          <w:sz w:val="32"/>
          <w:szCs w:val="32"/>
          <w:highlight w:val="none"/>
          <w:lang w:val="en-US" w:eastAsia="zh-CN"/>
        </w:rPr>
        <w:t xml:space="preserve">第五章  </w:t>
      </w:r>
      <w:r>
        <w:rPr>
          <w:rFonts w:hint="eastAsia" w:ascii="仿宋_GB2312" w:hAnsi="仿宋_GB2312" w:eastAsia="仿宋_GB2312" w:cs="仿宋_GB2312"/>
          <w:b/>
          <w:bCs/>
          <w:kern w:val="2"/>
          <w:sz w:val="32"/>
          <w:szCs w:val="32"/>
          <w:highlight w:val="none"/>
          <w:lang w:eastAsia="zh-CN"/>
        </w:rPr>
        <w:t>计量与结算</w:t>
      </w:r>
    </w:p>
    <w:p w14:paraId="02DAD21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0" w:firstLineChars="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b/>
          <w:kern w:val="2"/>
          <w:sz w:val="32"/>
          <w:szCs w:val="32"/>
          <w:highlight w:val="none"/>
          <w:lang w:val="en-US" w:eastAsia="zh-CN" w:bidi="ar-SA"/>
        </w:rPr>
        <w:t xml:space="preserve">    第十条 </w:t>
      </w:r>
      <w:r>
        <w:rPr>
          <w:rFonts w:hint="eastAsia" w:ascii="仿宋_GB2312" w:hAnsi="仿宋_GB2312" w:eastAsia="仿宋_GB2312" w:cs="仿宋_GB2312"/>
          <w:kern w:val="2"/>
          <w:sz w:val="32"/>
          <w:szCs w:val="32"/>
          <w:highlight w:val="none"/>
          <w:lang w:eastAsia="zh-CN"/>
        </w:rPr>
        <w:t>在本合同执行期内，双方委托交易机构、电网企业按照市场规则及其相关配套文件开展电费结算及收取。</w:t>
      </w:r>
    </w:p>
    <w:p w14:paraId="558C9E3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3"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b/>
          <w:kern w:val="2"/>
          <w:sz w:val="32"/>
          <w:szCs w:val="32"/>
          <w:highlight w:val="none"/>
          <w:lang w:val="en-US" w:eastAsia="zh-CN" w:bidi="ar-SA"/>
        </w:rPr>
        <w:t>第十一条</w:t>
      </w:r>
      <w:r>
        <w:rPr>
          <w:rFonts w:hint="eastAsia" w:ascii="仿宋_GB2312" w:hAnsi="仿宋_GB2312" w:eastAsia="仿宋_GB2312" w:cs="仿宋_GB2312"/>
          <w:kern w:val="0"/>
          <w:sz w:val="32"/>
          <w:highlight w:val="none"/>
          <w:lang w:val="en-US" w:eastAsia="zh-CN"/>
        </w:rPr>
        <w:t xml:space="preserve"> </w:t>
      </w:r>
      <w:r>
        <w:rPr>
          <w:rFonts w:hint="eastAsia" w:ascii="仿宋_GB2312" w:hAnsi="仿宋_GB2312" w:eastAsia="仿宋_GB2312" w:cs="仿宋_GB2312"/>
          <w:kern w:val="2"/>
          <w:sz w:val="32"/>
          <w:szCs w:val="32"/>
          <w:highlight w:val="none"/>
          <w:lang w:eastAsia="zh-CN"/>
        </w:rPr>
        <w:t>其他约定内容：(量、价信息以第八条为准，此处不约定)</w:t>
      </w:r>
      <w:r>
        <w:rPr>
          <w:rFonts w:hint="eastAsia" w:ascii="仿宋_GB2312" w:hAnsi="仿宋_GB2312" w:eastAsia="仿宋_GB2312" w:cs="仿宋_GB2312"/>
          <w:kern w:val="2"/>
          <w:sz w:val="32"/>
          <w:szCs w:val="32"/>
          <w:highlight w:val="none"/>
          <w:u w:val="single"/>
          <w:lang w:val="en-US" w:eastAsia="zh-CN"/>
        </w:rPr>
        <w:t xml:space="preserve">                                    </w:t>
      </w:r>
      <w:r>
        <w:rPr>
          <w:rFonts w:hint="eastAsia" w:ascii="仿宋_GB2312" w:hAnsi="仿宋_GB2312" w:eastAsia="仿宋_GB2312" w:cs="仿宋_GB2312"/>
          <w:kern w:val="2"/>
          <w:sz w:val="32"/>
          <w:szCs w:val="32"/>
          <w:highlight w:val="none"/>
          <w:u w:val="single"/>
          <w:lang w:eastAsia="zh-CN"/>
        </w:rPr>
        <w:t xml:space="preserve"> </w:t>
      </w:r>
      <w:r>
        <w:rPr>
          <w:rFonts w:hint="eastAsia" w:ascii="仿宋_GB2312" w:hAnsi="仿宋_GB2312" w:eastAsia="仿宋_GB2312" w:cs="仿宋_GB2312"/>
          <w:kern w:val="2"/>
          <w:sz w:val="32"/>
          <w:szCs w:val="32"/>
          <w:highlight w:val="none"/>
          <w:lang w:eastAsia="zh-CN"/>
        </w:rPr>
        <w:t>。</w:t>
      </w:r>
    </w:p>
    <w:p w14:paraId="42D88AB4">
      <w:pPr>
        <w:keepNext w:val="0"/>
        <w:keepLines w:val="0"/>
        <w:pageBreakBefore w:val="0"/>
        <w:widowControl w:val="0"/>
        <w:numPr>
          <w:ilvl w:val="-1"/>
          <w:numId w:val="0"/>
        </w:numPr>
        <w:kinsoku/>
        <w:wordWrap/>
        <w:overflowPunct/>
        <w:topLinePunct w:val="0"/>
        <w:autoSpaceDE/>
        <w:autoSpaceDN/>
        <w:bidi w:val="0"/>
        <w:adjustRightInd/>
        <w:snapToGrid/>
        <w:spacing w:before="157" w:beforeLines="50" w:beforeAutospacing="0" w:after="157" w:afterLines="50" w:afterAutospacing="0" w:line="580" w:lineRule="exact"/>
        <w:ind w:left="0" w:leftChars="0" w:right="0" w:rightChars="0" w:firstLine="643" w:firstLineChars="200"/>
        <w:jc w:val="center"/>
        <w:textAlignment w:val="auto"/>
        <w:outlineLvl w:val="1"/>
        <w:rPr>
          <w:rFonts w:hint="eastAsia" w:ascii="仿宋_GB2312" w:hAnsi="仿宋_GB2312" w:eastAsia="仿宋_GB2312" w:cs="仿宋_GB2312"/>
          <w:b/>
          <w:bCs/>
          <w:kern w:val="2"/>
          <w:sz w:val="32"/>
          <w:szCs w:val="32"/>
          <w:highlight w:val="none"/>
          <w:lang w:eastAsia="zh-CN"/>
        </w:rPr>
      </w:pPr>
      <w:r>
        <w:rPr>
          <w:rFonts w:hint="eastAsia" w:ascii="仿宋_GB2312" w:hAnsi="仿宋_GB2312" w:eastAsia="仿宋_GB2312" w:cs="仿宋_GB2312"/>
          <w:b/>
          <w:bCs/>
          <w:kern w:val="2"/>
          <w:sz w:val="32"/>
          <w:szCs w:val="32"/>
          <w:highlight w:val="none"/>
          <w:lang w:val="en-US" w:eastAsia="zh-CN"/>
        </w:rPr>
        <w:t xml:space="preserve">第六章  </w:t>
      </w:r>
      <w:r>
        <w:rPr>
          <w:rFonts w:hint="eastAsia" w:ascii="仿宋_GB2312" w:hAnsi="仿宋_GB2312" w:eastAsia="仿宋_GB2312" w:cs="仿宋_GB2312"/>
          <w:b/>
          <w:bCs/>
          <w:kern w:val="2"/>
          <w:sz w:val="32"/>
          <w:szCs w:val="32"/>
          <w:highlight w:val="none"/>
          <w:lang w:eastAsia="zh-CN"/>
        </w:rPr>
        <w:t>合同生效、变更和解除</w:t>
      </w:r>
    </w:p>
    <w:p w14:paraId="4A182CB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0" w:firstLineChars="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b/>
          <w:kern w:val="2"/>
          <w:sz w:val="32"/>
          <w:szCs w:val="32"/>
          <w:highlight w:val="none"/>
          <w:lang w:val="en-US" w:eastAsia="zh-CN" w:bidi="ar-SA"/>
        </w:rPr>
        <w:t xml:space="preserve">    第十二条</w:t>
      </w:r>
      <w:r>
        <w:rPr>
          <w:rFonts w:hint="eastAsia" w:ascii="仿宋_GB2312" w:hAnsi="仿宋_GB2312" w:eastAsia="仿宋_GB2312" w:cs="仿宋_GB2312"/>
          <w:b w:val="0"/>
          <w:kern w:val="2"/>
          <w:sz w:val="32"/>
          <w:szCs w:val="32"/>
          <w:highlight w:val="none"/>
          <w:lang w:val="en-US" w:eastAsia="zh-CN" w:bidi="ar-SA"/>
        </w:rPr>
        <w:t xml:space="preserve"> 涉及</w:t>
      </w:r>
      <w:r>
        <w:rPr>
          <w:rFonts w:hint="eastAsia" w:ascii="仿宋_GB2312" w:hAnsi="仿宋_GB2312" w:eastAsia="仿宋_GB2312" w:cs="仿宋_GB2312"/>
          <w:kern w:val="2"/>
          <w:sz w:val="32"/>
          <w:szCs w:val="32"/>
          <w:highlight w:val="none"/>
          <w:lang w:eastAsia="zh-CN"/>
        </w:rPr>
        <w:t>本合</w:t>
      </w:r>
      <w:r>
        <w:rPr>
          <w:rFonts w:hint="eastAsia" w:ascii="仿宋_GB2312" w:hAnsi="仿宋_GB2312" w:eastAsia="仿宋_GB2312" w:cs="仿宋_GB2312"/>
          <w:kern w:val="2"/>
          <w:sz w:val="32"/>
          <w:szCs w:val="32"/>
          <w:highlight w:val="none"/>
          <w:lang w:val="en-US" w:eastAsia="zh-CN"/>
        </w:rPr>
        <w:t>同</w:t>
      </w:r>
      <w:r>
        <w:rPr>
          <w:rFonts w:hint="eastAsia" w:ascii="仿宋_GB2312" w:hAnsi="仿宋_GB2312" w:eastAsia="仿宋_GB2312" w:cs="仿宋_GB2312"/>
          <w:kern w:val="2"/>
          <w:sz w:val="32"/>
          <w:szCs w:val="32"/>
          <w:highlight w:val="none"/>
          <w:lang w:eastAsia="zh-CN"/>
        </w:rPr>
        <w:t>已选定的聚合套餐参数信息的变更事宜，由甲乙双方使用法人授权账号信息共同在电力交易平台中操作确认后生效。</w:t>
      </w:r>
    </w:p>
    <w:p w14:paraId="79005EC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0" w:firstLineChars="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b/>
          <w:kern w:val="2"/>
          <w:sz w:val="32"/>
          <w:szCs w:val="32"/>
          <w:highlight w:val="none"/>
          <w:lang w:val="en-US" w:eastAsia="zh-CN" w:bidi="ar-SA"/>
        </w:rPr>
        <w:t xml:space="preserve">    第十三条 </w:t>
      </w:r>
      <w:r>
        <w:rPr>
          <w:rFonts w:hint="eastAsia" w:ascii="仿宋_GB2312" w:hAnsi="仿宋_GB2312" w:eastAsia="仿宋_GB2312" w:cs="仿宋_GB2312"/>
          <w:kern w:val="2"/>
          <w:sz w:val="32"/>
          <w:szCs w:val="32"/>
          <w:highlight w:val="none"/>
          <w:lang w:eastAsia="zh-CN"/>
        </w:rPr>
        <w:t>在合同履行过程中，如任何一方发生以下情形，则另一方有权在发出解除通知后解除本合同：</w:t>
      </w:r>
    </w:p>
    <w:p w14:paraId="6D62FDA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1.一方发生歇业、解散或破产、停业整顿、被吊销营业执照或被撤销时。</w:t>
      </w:r>
    </w:p>
    <w:p w14:paraId="196C99A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2.</w:t>
      </w:r>
      <w:r>
        <w:rPr>
          <w:rFonts w:hint="eastAsia" w:ascii="仿宋_GB2312" w:hAnsi="仿宋_GB2312" w:eastAsia="仿宋_GB2312" w:cs="仿宋_GB2312"/>
          <w:kern w:val="2"/>
          <w:sz w:val="32"/>
          <w:szCs w:val="32"/>
          <w:highlight w:val="none"/>
          <w:lang w:eastAsia="zh-CN"/>
        </w:rPr>
        <w:t>一方与另一实体联合、合并或将其所有或大部分资产转移给另一实体，而该存续的企业不能合理地承担其在本合同项下的义务。</w:t>
      </w:r>
    </w:p>
    <w:p w14:paraId="0C52A12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eastAsia="zh-CN"/>
        </w:rPr>
        <w:t>一方被电力交易机构注销市场注册。</w:t>
      </w:r>
    </w:p>
    <w:p w14:paraId="7A13D52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3"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b/>
          <w:kern w:val="2"/>
          <w:sz w:val="32"/>
          <w:szCs w:val="32"/>
          <w:highlight w:val="none"/>
          <w:lang w:val="en-US" w:eastAsia="zh-CN" w:bidi="ar-SA"/>
        </w:rPr>
        <w:t xml:space="preserve">第十四条 </w:t>
      </w:r>
      <w:r>
        <w:rPr>
          <w:rFonts w:hint="eastAsia" w:ascii="仿宋_GB2312" w:hAnsi="仿宋_GB2312" w:eastAsia="仿宋_GB2312" w:cs="仿宋_GB2312"/>
          <w:kern w:val="2"/>
          <w:sz w:val="32"/>
          <w:szCs w:val="32"/>
          <w:highlight w:val="none"/>
          <w:lang w:eastAsia="zh-CN"/>
        </w:rPr>
        <w:t>甲乙双方约定在合同终止日前，可以按照以下第 （ ）种方式，提前解除</w:t>
      </w:r>
      <w:r>
        <w:rPr>
          <w:rFonts w:hint="eastAsia" w:ascii="仿宋_GB2312" w:hAnsi="仿宋_GB2312" w:eastAsia="仿宋_GB2312" w:cs="仿宋_GB2312"/>
          <w:kern w:val="2"/>
          <w:sz w:val="32"/>
          <w:szCs w:val="32"/>
          <w:highlight w:val="none"/>
          <w:lang w:val="en-US" w:eastAsia="zh-CN"/>
        </w:rPr>
        <w:t>聚合代理</w:t>
      </w:r>
      <w:r>
        <w:rPr>
          <w:rFonts w:hint="eastAsia" w:ascii="仿宋_GB2312" w:hAnsi="仿宋_GB2312" w:eastAsia="仿宋_GB2312" w:cs="仿宋_GB2312"/>
          <w:kern w:val="2"/>
          <w:sz w:val="32"/>
          <w:szCs w:val="32"/>
          <w:highlight w:val="none"/>
          <w:lang w:eastAsia="zh-CN"/>
        </w:rPr>
        <w:t xml:space="preserve">合同： </w:t>
      </w:r>
    </w:p>
    <w:p w14:paraId="0D7210E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1.甲乙双方任何一方可单方通过电力交易平台提出解除</w:t>
      </w:r>
      <w:r>
        <w:rPr>
          <w:rFonts w:hint="eastAsia" w:ascii="仿宋_GB2312" w:hAnsi="仿宋_GB2312" w:eastAsia="仿宋_GB2312" w:cs="仿宋_GB2312"/>
          <w:kern w:val="2"/>
          <w:sz w:val="32"/>
          <w:szCs w:val="32"/>
          <w:highlight w:val="none"/>
          <w:lang w:val="en-US" w:eastAsia="zh-CN"/>
        </w:rPr>
        <w:t>聚合代理</w:t>
      </w:r>
      <w:r>
        <w:rPr>
          <w:rFonts w:hint="eastAsia" w:ascii="仿宋_GB2312" w:hAnsi="仿宋_GB2312" w:eastAsia="仿宋_GB2312" w:cs="仿宋_GB2312"/>
          <w:kern w:val="2"/>
          <w:sz w:val="32"/>
          <w:szCs w:val="32"/>
          <w:highlight w:val="none"/>
          <w:lang w:eastAsia="zh-CN"/>
        </w:rPr>
        <w:t>合同申请，提出方应向另一方支付违约金大写 （</w:t>
      </w:r>
      <w:bookmarkStart w:id="2" w:name="OLE_LINK3"/>
      <w:r>
        <w:rPr>
          <w:rFonts w:hint="eastAsia" w:ascii="仿宋_GB2312" w:hAnsi="仿宋_GB2312" w:eastAsia="仿宋_GB2312" w:cs="仿宋_GB2312"/>
          <w:kern w:val="2"/>
          <w:sz w:val="32"/>
          <w:szCs w:val="32"/>
          <w:highlight w:val="none"/>
          <w:u w:val="single"/>
          <w:lang w:val="en-US" w:eastAsia="zh-CN"/>
        </w:rPr>
        <w:t xml:space="preserve"> </w:t>
      </w:r>
      <w:r>
        <w:rPr>
          <w:rFonts w:hint="eastAsia" w:ascii="仿宋_GB2312" w:hAnsi="仿宋_GB2312" w:eastAsia="仿宋_GB2312" w:cs="仿宋_GB2312"/>
          <w:kern w:val="2"/>
          <w:sz w:val="32"/>
          <w:szCs w:val="32"/>
          <w:highlight w:val="none"/>
          <w:u w:val="single"/>
          <w:lang w:eastAsia="zh-CN"/>
        </w:rPr>
        <w:t xml:space="preserve"> </w:t>
      </w:r>
      <w:r>
        <w:rPr>
          <w:rFonts w:hint="eastAsia" w:ascii="仿宋_GB2312" w:hAnsi="仿宋_GB2312" w:eastAsia="仿宋_GB2312" w:cs="仿宋_GB2312"/>
          <w:kern w:val="2"/>
          <w:sz w:val="32"/>
          <w:szCs w:val="32"/>
          <w:highlight w:val="none"/>
          <w:u w:val="single"/>
          <w:lang w:val="en-US" w:eastAsia="zh-CN"/>
        </w:rPr>
        <w:t xml:space="preserve"> </w:t>
      </w:r>
      <w:bookmarkEnd w:id="2"/>
      <w:r>
        <w:rPr>
          <w:rFonts w:hint="eastAsia" w:ascii="仿宋_GB2312" w:hAnsi="仿宋_GB2312" w:eastAsia="仿宋_GB2312" w:cs="仿宋_GB2312"/>
          <w:kern w:val="2"/>
          <w:sz w:val="32"/>
          <w:szCs w:val="32"/>
          <w:highlight w:val="none"/>
          <w:lang w:eastAsia="zh-CN"/>
        </w:rPr>
        <w:t xml:space="preserve">）元整（¥ </w:t>
      </w:r>
      <w:r>
        <w:rPr>
          <w:rFonts w:hint="eastAsia" w:ascii="仿宋_GB2312" w:hAnsi="仿宋_GB2312" w:eastAsia="仿宋_GB2312" w:cs="仿宋_GB2312"/>
          <w:kern w:val="2"/>
          <w:sz w:val="32"/>
          <w:szCs w:val="32"/>
          <w:highlight w:val="none"/>
          <w:u w:val="single"/>
          <w:lang w:val="en-US" w:eastAsia="zh-CN"/>
        </w:rPr>
        <w:t xml:space="preserve"> </w:t>
      </w:r>
      <w:r>
        <w:rPr>
          <w:rFonts w:hint="eastAsia" w:ascii="仿宋_GB2312" w:hAnsi="仿宋_GB2312" w:eastAsia="仿宋_GB2312" w:cs="仿宋_GB2312"/>
          <w:kern w:val="2"/>
          <w:sz w:val="32"/>
          <w:szCs w:val="32"/>
          <w:highlight w:val="none"/>
          <w:u w:val="single"/>
          <w:lang w:eastAsia="zh-CN"/>
        </w:rPr>
        <w:t xml:space="preserve"> </w:t>
      </w:r>
      <w:r>
        <w:rPr>
          <w:rFonts w:hint="eastAsia" w:ascii="仿宋_GB2312" w:hAnsi="仿宋_GB2312" w:eastAsia="仿宋_GB2312" w:cs="仿宋_GB2312"/>
          <w:kern w:val="2"/>
          <w:sz w:val="32"/>
          <w:szCs w:val="32"/>
          <w:highlight w:val="none"/>
          <w:u w:val="single"/>
          <w:lang w:val="en-US" w:eastAsia="zh-CN"/>
        </w:rPr>
        <w:t xml:space="preserve"> </w:t>
      </w:r>
      <w:r>
        <w:rPr>
          <w:rFonts w:hint="eastAsia" w:ascii="仿宋_GB2312" w:hAnsi="仿宋_GB2312" w:eastAsia="仿宋_GB2312" w:cs="仿宋_GB2312"/>
          <w:kern w:val="2"/>
          <w:sz w:val="32"/>
          <w:szCs w:val="32"/>
          <w:highlight w:val="none"/>
          <w:lang w:eastAsia="zh-CN"/>
        </w:rPr>
        <w:t>）。</w:t>
      </w:r>
    </w:p>
    <w:p w14:paraId="5DE4802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eastAsia="zh-CN"/>
        </w:rPr>
        <w:t>2.双方协商解除</w:t>
      </w:r>
      <w:r>
        <w:rPr>
          <w:rFonts w:hint="eastAsia" w:ascii="仿宋_GB2312" w:hAnsi="仿宋_GB2312" w:eastAsia="仿宋_GB2312" w:cs="仿宋_GB2312"/>
          <w:kern w:val="2"/>
          <w:sz w:val="32"/>
          <w:szCs w:val="32"/>
          <w:highlight w:val="none"/>
          <w:lang w:val="en-US" w:eastAsia="zh-CN"/>
        </w:rPr>
        <w:t>聚合代理</w:t>
      </w:r>
      <w:r>
        <w:rPr>
          <w:rFonts w:hint="eastAsia" w:ascii="仿宋_GB2312" w:hAnsi="仿宋_GB2312" w:eastAsia="仿宋_GB2312" w:cs="仿宋_GB2312"/>
          <w:kern w:val="2"/>
          <w:sz w:val="32"/>
          <w:szCs w:val="32"/>
          <w:highlight w:val="none"/>
          <w:lang w:eastAsia="zh-CN"/>
        </w:rPr>
        <w:t>合同，</w:t>
      </w:r>
      <w:r>
        <w:rPr>
          <w:rFonts w:hint="eastAsia" w:ascii="仿宋_GB2312" w:hAnsi="仿宋_GB2312" w:eastAsia="仿宋_GB2312" w:cs="仿宋_GB2312"/>
          <w:kern w:val="2"/>
          <w:sz w:val="32"/>
          <w:szCs w:val="32"/>
          <w:highlight w:val="none"/>
          <w:lang w:val="en-US" w:eastAsia="zh-CN"/>
        </w:rPr>
        <w:t>须</w:t>
      </w:r>
      <w:r>
        <w:rPr>
          <w:rFonts w:hint="eastAsia" w:ascii="仿宋_GB2312" w:hAnsi="仿宋_GB2312" w:eastAsia="仿宋_GB2312" w:cs="仿宋_GB2312"/>
          <w:kern w:val="2"/>
          <w:sz w:val="32"/>
          <w:szCs w:val="32"/>
          <w:highlight w:val="none"/>
          <w:lang w:eastAsia="zh-CN"/>
        </w:rPr>
        <w:t>签订解除</w:t>
      </w:r>
      <w:r>
        <w:rPr>
          <w:rFonts w:hint="eastAsia" w:ascii="仿宋_GB2312" w:hAnsi="仿宋_GB2312" w:eastAsia="仿宋_GB2312" w:cs="仿宋_GB2312"/>
          <w:kern w:val="2"/>
          <w:sz w:val="32"/>
          <w:szCs w:val="32"/>
          <w:highlight w:val="none"/>
          <w:lang w:val="en-US" w:eastAsia="zh-CN"/>
        </w:rPr>
        <w:t>合同</w:t>
      </w:r>
      <w:r>
        <w:rPr>
          <w:rFonts w:hint="eastAsia" w:ascii="仿宋_GB2312" w:hAnsi="仿宋_GB2312" w:eastAsia="仿宋_GB2312" w:cs="仿宋_GB2312"/>
          <w:kern w:val="2"/>
          <w:sz w:val="32"/>
          <w:szCs w:val="32"/>
          <w:highlight w:val="none"/>
          <w:lang w:eastAsia="zh-CN"/>
        </w:rPr>
        <w:t>协议，由</w:t>
      </w:r>
      <w:r>
        <w:rPr>
          <w:rFonts w:hint="eastAsia" w:ascii="仿宋_GB2312" w:hAnsi="仿宋_GB2312" w:eastAsia="仿宋_GB2312" w:cs="仿宋_GB2312"/>
          <w:kern w:val="2"/>
          <w:sz w:val="32"/>
          <w:szCs w:val="32"/>
          <w:highlight w:val="none"/>
          <w:lang w:val="en-US" w:eastAsia="zh-CN"/>
        </w:rPr>
        <w:t>合同</w:t>
      </w:r>
      <w:r>
        <w:rPr>
          <w:rFonts w:hint="eastAsia" w:ascii="仿宋_GB2312" w:hAnsi="仿宋_GB2312" w:eastAsia="仿宋_GB2312" w:cs="仿宋_GB2312"/>
          <w:kern w:val="2"/>
          <w:sz w:val="32"/>
          <w:szCs w:val="32"/>
          <w:highlight w:val="none"/>
          <w:lang w:eastAsia="zh-CN"/>
        </w:rPr>
        <w:t>一方通过电力交易平台发起，另一方通过电力交易平 台确认。</w:t>
      </w:r>
    </w:p>
    <w:p w14:paraId="0548C2E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after="0" w:afterLines="-2147483648" w:line="560" w:lineRule="exact"/>
        <w:ind w:left="160" w:leftChars="50" w:right="160" w:rightChars="50" w:firstLine="643" w:firstLineChars="200"/>
        <w:jc w:val="both"/>
        <w:textAlignment w:val="auto"/>
        <w:outlineLvl w:val="9"/>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bidi="ar-SA"/>
        </w:rPr>
        <w:t xml:space="preserve">第十五条 </w:t>
      </w:r>
      <w:r>
        <w:rPr>
          <w:rFonts w:hint="eastAsia" w:ascii="仿宋_GB2312" w:hAnsi="仿宋_GB2312" w:eastAsia="仿宋_GB2312" w:cs="仿宋_GB2312"/>
          <w:kern w:val="2"/>
          <w:sz w:val="32"/>
          <w:szCs w:val="32"/>
          <w:highlight w:val="none"/>
          <w:lang w:val="en-US" w:eastAsia="zh-CN"/>
        </w:rPr>
        <w:t>每月15日前通过电力交易平台提交，经双方确认通过后于次月生效。</w:t>
      </w:r>
    </w:p>
    <w:p w14:paraId="4E799C0F">
      <w:pPr>
        <w:keepNext w:val="0"/>
        <w:keepLines w:val="0"/>
        <w:pageBreakBefore w:val="0"/>
        <w:widowControl w:val="0"/>
        <w:numPr>
          <w:ilvl w:val="-1"/>
          <w:numId w:val="0"/>
        </w:numPr>
        <w:kinsoku/>
        <w:wordWrap/>
        <w:overflowPunct/>
        <w:topLinePunct w:val="0"/>
        <w:autoSpaceDE/>
        <w:autoSpaceDN/>
        <w:bidi w:val="0"/>
        <w:adjustRightInd/>
        <w:snapToGrid/>
        <w:spacing w:before="157" w:beforeLines="50" w:beforeAutospacing="0" w:after="157" w:afterLines="50" w:afterAutospacing="0" w:line="580" w:lineRule="exact"/>
        <w:ind w:left="0" w:leftChars="0" w:right="0" w:rightChars="0" w:firstLine="643" w:firstLineChars="200"/>
        <w:jc w:val="center"/>
        <w:textAlignment w:val="auto"/>
        <w:outlineLvl w:val="1"/>
        <w:rPr>
          <w:rFonts w:hint="eastAsia" w:ascii="仿宋_GB2312" w:hAnsi="仿宋_GB2312" w:eastAsia="仿宋_GB2312" w:cs="仿宋_GB2312"/>
          <w:b/>
          <w:bCs/>
          <w:kern w:val="2"/>
          <w:sz w:val="32"/>
          <w:szCs w:val="32"/>
          <w:highlight w:val="none"/>
          <w:lang w:eastAsia="zh-CN"/>
        </w:rPr>
      </w:pPr>
      <w:r>
        <w:rPr>
          <w:rFonts w:hint="eastAsia" w:ascii="仿宋_GB2312" w:hAnsi="仿宋_GB2312" w:eastAsia="仿宋_GB2312" w:cs="仿宋_GB2312"/>
          <w:b/>
          <w:bCs/>
          <w:kern w:val="2"/>
          <w:sz w:val="32"/>
          <w:szCs w:val="32"/>
          <w:highlight w:val="none"/>
          <w:lang w:val="en-US" w:eastAsia="zh-CN"/>
        </w:rPr>
        <w:t xml:space="preserve">第七章  </w:t>
      </w:r>
      <w:r>
        <w:rPr>
          <w:rFonts w:hint="eastAsia" w:ascii="仿宋_GB2312" w:hAnsi="仿宋_GB2312" w:eastAsia="仿宋_GB2312" w:cs="仿宋_GB2312"/>
          <w:b/>
          <w:bCs/>
          <w:kern w:val="2"/>
          <w:sz w:val="32"/>
          <w:szCs w:val="32"/>
          <w:highlight w:val="none"/>
          <w:lang w:eastAsia="zh-CN"/>
        </w:rPr>
        <w:t>合同违约和赔偿</w:t>
      </w:r>
    </w:p>
    <w:p w14:paraId="041D536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0" w:firstLineChars="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b/>
          <w:kern w:val="2"/>
          <w:sz w:val="32"/>
          <w:szCs w:val="32"/>
          <w:highlight w:val="none"/>
          <w:lang w:val="en-US" w:eastAsia="zh-CN" w:bidi="ar-SA"/>
        </w:rPr>
        <w:t xml:space="preserve">    第十六条 </w:t>
      </w:r>
      <w:r>
        <w:rPr>
          <w:rFonts w:hint="eastAsia" w:ascii="仿宋_GB2312" w:hAnsi="仿宋_GB2312" w:eastAsia="仿宋_GB2312" w:cs="仿宋_GB2312"/>
          <w:kern w:val="2"/>
          <w:sz w:val="32"/>
          <w:szCs w:val="32"/>
          <w:highlight w:val="none"/>
          <w:lang w:eastAsia="zh-CN"/>
        </w:rPr>
        <w:t>违约的处理原则</w:t>
      </w:r>
    </w:p>
    <w:p w14:paraId="3471B53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eastAsia="zh-CN"/>
        </w:rPr>
        <w:t>任何一方违反本合同约定条款视为违约，合同任一方有权要求违约方承担违约责任并赔偿违约造成的经济损失。</w:t>
      </w:r>
    </w:p>
    <w:p w14:paraId="7FCBCD3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2.</w:t>
      </w:r>
      <w:r>
        <w:rPr>
          <w:rFonts w:hint="eastAsia" w:ascii="仿宋_GB2312" w:hAnsi="仿宋_GB2312" w:eastAsia="仿宋_GB2312" w:cs="仿宋_GB2312"/>
          <w:kern w:val="2"/>
          <w:sz w:val="32"/>
          <w:szCs w:val="32"/>
          <w:highlight w:val="none"/>
          <w:lang w:eastAsia="zh-CN"/>
        </w:rPr>
        <w:t>违约方应承担继续履行合同、采取补救措施等责任。在继续履约或者采取补救措施后，仍对非违约方造成其他损失的，应当赔偿损失。</w:t>
      </w:r>
    </w:p>
    <w:p w14:paraId="30A11A5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eastAsia="zh-CN"/>
        </w:rPr>
        <w:t>在本合同履行期限届满之前，任何一方明确表示或以自己的行为表明不履行合同义务的，另一方可在履行期限届满前解除合同并要求其承担相应的违约责任。</w:t>
      </w:r>
    </w:p>
    <w:p w14:paraId="3293239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0" w:firstLineChars="20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4.</w:t>
      </w:r>
      <w:r>
        <w:rPr>
          <w:rFonts w:hint="eastAsia" w:ascii="仿宋_GB2312" w:hAnsi="仿宋_GB2312" w:eastAsia="仿宋_GB2312" w:cs="仿宋_GB2312"/>
          <w:kern w:val="2"/>
          <w:sz w:val="32"/>
          <w:szCs w:val="32"/>
          <w:highlight w:val="none"/>
          <w:lang w:eastAsia="zh-CN"/>
        </w:rPr>
        <w:t>一方违约后，另一方应当采取适当的措施防止损失进一步扩大，如果因被违约方没有采取适当措施致使损失扩大的，则其不得就扩大的损失要求违约方承担赔偿责任。</w:t>
      </w:r>
    </w:p>
    <w:p w14:paraId="2EE687AF">
      <w:pPr>
        <w:widowControl w:val="0"/>
        <w:numPr>
          <w:ilvl w:val="-1"/>
          <w:numId w:val="0"/>
        </w:numPr>
        <w:spacing w:before="157" w:beforeLines="50" w:after="157" w:afterLines="50" w:afterAutospacing="0" w:line="580" w:lineRule="exact"/>
        <w:ind w:left="0" w:leftChars="0" w:right="0" w:rightChars="0" w:firstLine="643" w:firstLineChars="200"/>
        <w:jc w:val="center"/>
        <w:outlineLvl w:val="1"/>
        <w:rPr>
          <w:rFonts w:hint="eastAsia" w:ascii="仿宋_GB2312" w:hAnsi="仿宋_GB2312" w:eastAsia="仿宋_GB2312" w:cs="仿宋_GB2312"/>
          <w:b/>
          <w:bCs/>
          <w:kern w:val="2"/>
          <w:sz w:val="32"/>
          <w:szCs w:val="32"/>
          <w:highlight w:val="none"/>
          <w:lang w:eastAsia="zh-CN"/>
        </w:rPr>
      </w:pPr>
      <w:r>
        <w:rPr>
          <w:rFonts w:hint="eastAsia" w:ascii="仿宋_GB2312" w:hAnsi="仿宋_GB2312" w:eastAsia="仿宋_GB2312" w:cs="仿宋_GB2312"/>
          <w:b/>
          <w:bCs/>
          <w:kern w:val="2"/>
          <w:sz w:val="32"/>
          <w:szCs w:val="32"/>
          <w:highlight w:val="none"/>
          <w:lang w:val="en-US" w:eastAsia="zh-CN"/>
        </w:rPr>
        <w:t xml:space="preserve">第八章  </w:t>
      </w:r>
      <w:r>
        <w:rPr>
          <w:rFonts w:hint="eastAsia" w:ascii="仿宋_GB2312" w:hAnsi="仿宋_GB2312" w:eastAsia="仿宋_GB2312" w:cs="仿宋_GB2312"/>
          <w:b/>
          <w:bCs/>
          <w:kern w:val="2"/>
          <w:sz w:val="32"/>
          <w:szCs w:val="32"/>
          <w:highlight w:val="none"/>
          <w:lang w:eastAsia="zh-CN"/>
        </w:rPr>
        <w:t>不可抗力</w:t>
      </w:r>
    </w:p>
    <w:p w14:paraId="4D40B4B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0" w:firstLineChars="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b/>
          <w:kern w:val="2"/>
          <w:sz w:val="32"/>
          <w:szCs w:val="32"/>
          <w:highlight w:val="none"/>
          <w:lang w:val="en-US" w:eastAsia="zh-CN" w:bidi="ar-SA"/>
        </w:rPr>
        <w:t xml:space="preserve">    第十七条 </w:t>
      </w:r>
      <w:r>
        <w:rPr>
          <w:rFonts w:hint="eastAsia" w:ascii="仿宋_GB2312" w:hAnsi="仿宋_GB2312" w:eastAsia="仿宋_GB2312" w:cs="仿宋_GB2312"/>
          <w:kern w:val="2"/>
          <w:sz w:val="32"/>
          <w:szCs w:val="32"/>
          <w:highlight w:val="none"/>
          <w:lang w:eastAsia="zh-CN"/>
        </w:rPr>
        <w:t>甲、乙双方中任何一方由于不可抗力的原因不能履行合同时，应在不可抗力发生后尽快补救，并于发生时起24小时内向对方通报不能履行或不能完全履行的理由，以减轻可能给对方</w:t>
      </w:r>
      <w:r>
        <w:rPr>
          <w:rFonts w:hint="eastAsia" w:ascii="仿宋_GB2312" w:hAnsi="仿宋_GB2312" w:eastAsia="仿宋_GB2312" w:cs="仿宋_GB2312"/>
          <w:kern w:val="2"/>
          <w:sz w:val="32"/>
          <w:szCs w:val="32"/>
          <w:highlight w:val="none"/>
          <w:lang w:val="en-US" w:eastAsia="zh-CN"/>
        </w:rPr>
        <w:t>造</w:t>
      </w:r>
      <w:r>
        <w:rPr>
          <w:rFonts w:hint="eastAsia" w:ascii="仿宋_GB2312" w:hAnsi="仿宋_GB2312" w:eastAsia="仿宋_GB2312" w:cs="仿宋_GB2312"/>
          <w:kern w:val="2"/>
          <w:sz w:val="32"/>
          <w:szCs w:val="32"/>
          <w:highlight w:val="none"/>
          <w:lang w:eastAsia="zh-CN"/>
        </w:rPr>
        <w:t>成的损失，在取得有关机构证明以后，本合同允许延期履行、部分履行或者解除合同。</w:t>
      </w:r>
    </w:p>
    <w:p w14:paraId="6B74F0D8">
      <w:pPr>
        <w:keepNext w:val="0"/>
        <w:keepLines w:val="0"/>
        <w:pageBreakBefore w:val="0"/>
        <w:widowControl w:val="0"/>
        <w:numPr>
          <w:ilvl w:val="-1"/>
          <w:numId w:val="0"/>
        </w:numPr>
        <w:kinsoku/>
        <w:wordWrap/>
        <w:overflowPunct/>
        <w:topLinePunct w:val="0"/>
        <w:autoSpaceDE/>
        <w:autoSpaceDN/>
        <w:bidi w:val="0"/>
        <w:adjustRightInd/>
        <w:snapToGrid/>
        <w:spacing w:before="157" w:beforeLines="50" w:beforeAutospacing="0" w:after="157" w:afterLines="50" w:afterAutospacing="0" w:line="580" w:lineRule="exact"/>
        <w:ind w:left="0" w:leftChars="0" w:right="0" w:rightChars="0" w:firstLine="643" w:firstLineChars="200"/>
        <w:jc w:val="center"/>
        <w:textAlignment w:val="auto"/>
        <w:outlineLvl w:val="1"/>
        <w:rPr>
          <w:rFonts w:hint="eastAsia" w:ascii="仿宋_GB2312" w:hAnsi="仿宋_GB2312" w:eastAsia="仿宋_GB2312" w:cs="仿宋_GB2312"/>
          <w:b/>
          <w:bCs/>
          <w:kern w:val="2"/>
          <w:sz w:val="32"/>
          <w:szCs w:val="32"/>
          <w:highlight w:val="none"/>
          <w:lang w:eastAsia="zh-CN"/>
        </w:rPr>
      </w:pPr>
      <w:r>
        <w:rPr>
          <w:rFonts w:hint="eastAsia" w:ascii="仿宋_GB2312" w:hAnsi="仿宋_GB2312" w:eastAsia="仿宋_GB2312" w:cs="仿宋_GB2312"/>
          <w:b/>
          <w:bCs/>
          <w:kern w:val="2"/>
          <w:sz w:val="32"/>
          <w:szCs w:val="32"/>
          <w:highlight w:val="none"/>
          <w:lang w:val="en-US" w:eastAsia="zh-CN"/>
        </w:rPr>
        <w:t xml:space="preserve">第九章  </w:t>
      </w:r>
      <w:r>
        <w:rPr>
          <w:rFonts w:hint="eastAsia" w:ascii="仿宋_GB2312" w:hAnsi="仿宋_GB2312" w:eastAsia="仿宋_GB2312" w:cs="仿宋_GB2312"/>
          <w:b/>
          <w:bCs/>
          <w:kern w:val="2"/>
          <w:sz w:val="32"/>
          <w:szCs w:val="32"/>
          <w:highlight w:val="none"/>
          <w:lang w:eastAsia="zh-CN"/>
        </w:rPr>
        <w:t>争议的解决</w:t>
      </w:r>
    </w:p>
    <w:p w14:paraId="2A0D10E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after="0" w:afterLines="-2147483648" w:line="560" w:lineRule="exact"/>
        <w:ind w:left="160" w:leftChars="50" w:right="160" w:rightChars="50" w:firstLine="0" w:firstLineChars="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b/>
          <w:kern w:val="2"/>
          <w:sz w:val="32"/>
          <w:szCs w:val="32"/>
          <w:highlight w:val="none"/>
          <w:lang w:val="en-US" w:eastAsia="zh-CN" w:bidi="ar-SA"/>
        </w:rPr>
        <w:t xml:space="preserve">    第十八条 </w:t>
      </w:r>
      <w:r>
        <w:rPr>
          <w:rFonts w:hint="eastAsia" w:ascii="仿宋_GB2312" w:hAnsi="仿宋_GB2312" w:eastAsia="仿宋_GB2312" w:cs="仿宋_GB2312"/>
          <w:kern w:val="2"/>
          <w:sz w:val="32"/>
          <w:szCs w:val="32"/>
          <w:highlight w:val="none"/>
          <w:lang w:eastAsia="zh-CN"/>
        </w:rPr>
        <w:t>凡因执行本合同所发生的与本合同有关的一切争议，双方应协商解决，也可提请电力监管机构和政府电力行业主管部门调解。协商或调解不成的，任何一方可</w:t>
      </w:r>
      <w:r>
        <w:rPr>
          <w:rFonts w:hint="eastAsia" w:ascii="仿宋_GB2312" w:hAnsi="仿宋_GB2312" w:eastAsia="仿宋_GB2312" w:cs="仿宋_GB2312"/>
          <w:kern w:val="2"/>
          <w:sz w:val="32"/>
          <w:szCs w:val="32"/>
          <w:highlight w:val="none"/>
          <w:lang w:val="en-US" w:eastAsia="zh-CN"/>
        </w:rPr>
        <w:t>向</w:t>
      </w:r>
      <w:r>
        <w:rPr>
          <w:rFonts w:hint="eastAsia" w:ascii="仿宋_GB2312" w:hAnsi="仿宋_GB2312" w:eastAsia="仿宋_GB2312" w:cs="仿宋_GB2312"/>
          <w:kern w:val="2"/>
          <w:sz w:val="32"/>
          <w:szCs w:val="32"/>
          <w:highlight w:val="none"/>
          <w:lang w:eastAsia="zh-CN"/>
        </w:rPr>
        <w:t>____</w:t>
      </w:r>
      <w:r>
        <w:rPr>
          <w:rFonts w:hint="eastAsia" w:ascii="仿宋_GB2312" w:hAnsi="仿宋_GB2312" w:eastAsia="仿宋_GB2312" w:cs="仿宋_GB2312"/>
          <w:kern w:val="2"/>
          <w:sz w:val="32"/>
          <w:szCs w:val="32"/>
          <w:highlight w:val="none"/>
          <w:lang w:val="en-US" w:eastAsia="zh-CN"/>
        </w:rPr>
        <w:t>方所在地</w:t>
      </w:r>
      <w:r>
        <w:rPr>
          <w:rFonts w:hint="eastAsia" w:ascii="仿宋_GB2312" w:hAnsi="仿宋_GB2312" w:eastAsia="仿宋_GB2312" w:cs="仿宋_GB2312"/>
          <w:kern w:val="2"/>
          <w:sz w:val="32"/>
          <w:szCs w:val="32"/>
          <w:highlight w:val="none"/>
          <w:lang w:eastAsia="zh-CN"/>
        </w:rPr>
        <w:t>人民法院</w:t>
      </w:r>
      <w:r>
        <w:rPr>
          <w:rFonts w:hint="eastAsia" w:ascii="仿宋_GB2312" w:hAnsi="仿宋_GB2312" w:eastAsia="仿宋_GB2312" w:cs="仿宋_GB2312"/>
          <w:kern w:val="2"/>
          <w:sz w:val="32"/>
          <w:szCs w:val="32"/>
          <w:highlight w:val="none"/>
          <w:lang w:val="en-US" w:eastAsia="zh-CN"/>
        </w:rPr>
        <w:t>提起</w:t>
      </w:r>
      <w:r>
        <w:rPr>
          <w:rFonts w:hint="eastAsia" w:ascii="仿宋_GB2312" w:hAnsi="仿宋_GB2312" w:eastAsia="仿宋_GB2312" w:cs="仿宋_GB2312"/>
          <w:kern w:val="2"/>
          <w:sz w:val="32"/>
          <w:szCs w:val="32"/>
          <w:highlight w:val="none"/>
          <w:lang w:eastAsia="zh-CN"/>
        </w:rPr>
        <w:t>诉讼。</w:t>
      </w:r>
    </w:p>
    <w:p w14:paraId="23D4054F">
      <w:pPr>
        <w:keepNext w:val="0"/>
        <w:keepLines w:val="0"/>
        <w:pageBreakBefore w:val="0"/>
        <w:widowControl w:val="0"/>
        <w:numPr>
          <w:ilvl w:val="-1"/>
          <w:numId w:val="0"/>
        </w:numPr>
        <w:kinsoku/>
        <w:wordWrap/>
        <w:overflowPunct/>
        <w:topLinePunct w:val="0"/>
        <w:autoSpaceDE/>
        <w:autoSpaceDN/>
        <w:bidi w:val="0"/>
        <w:adjustRightInd/>
        <w:snapToGrid/>
        <w:spacing w:before="157" w:beforeLines="50" w:beforeAutospacing="0" w:after="157" w:afterLines="50" w:afterAutospacing="0" w:line="580" w:lineRule="exact"/>
        <w:ind w:left="0" w:leftChars="0" w:right="0" w:rightChars="0" w:firstLine="643" w:firstLineChars="200"/>
        <w:jc w:val="center"/>
        <w:textAlignment w:val="auto"/>
        <w:outlineLvl w:val="1"/>
        <w:rPr>
          <w:rFonts w:hint="eastAsia" w:ascii="仿宋_GB2312" w:hAnsi="仿宋_GB2312" w:eastAsia="仿宋_GB2312" w:cs="仿宋_GB2312"/>
          <w:b/>
          <w:bCs/>
          <w:kern w:val="2"/>
          <w:sz w:val="32"/>
          <w:szCs w:val="32"/>
          <w:highlight w:val="none"/>
          <w:lang w:eastAsia="zh-CN"/>
        </w:rPr>
      </w:pPr>
      <w:r>
        <w:rPr>
          <w:rFonts w:hint="eastAsia" w:ascii="仿宋_GB2312" w:hAnsi="仿宋_GB2312" w:eastAsia="仿宋_GB2312" w:cs="仿宋_GB2312"/>
          <w:b/>
          <w:bCs/>
          <w:kern w:val="2"/>
          <w:sz w:val="32"/>
          <w:szCs w:val="32"/>
          <w:highlight w:val="none"/>
          <w:lang w:val="en-US" w:eastAsia="zh-CN"/>
        </w:rPr>
        <w:t xml:space="preserve">第十章  </w:t>
      </w:r>
      <w:r>
        <w:rPr>
          <w:rFonts w:hint="eastAsia" w:ascii="仿宋_GB2312" w:hAnsi="仿宋_GB2312" w:eastAsia="仿宋_GB2312" w:cs="仿宋_GB2312"/>
          <w:b/>
          <w:bCs/>
          <w:kern w:val="2"/>
          <w:sz w:val="32"/>
          <w:szCs w:val="32"/>
          <w:highlight w:val="none"/>
          <w:lang w:eastAsia="zh-CN"/>
        </w:rPr>
        <w:t>附 则</w:t>
      </w:r>
    </w:p>
    <w:p w14:paraId="1BAFB82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2" w:firstLineChars="0"/>
        <w:jc w:val="both"/>
        <w:textAlignment w:val="auto"/>
        <w:outlineLvl w:val="9"/>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b/>
          <w:kern w:val="2"/>
          <w:sz w:val="32"/>
          <w:szCs w:val="32"/>
          <w:highlight w:val="none"/>
          <w:lang w:val="en-US" w:eastAsia="zh-CN" w:bidi="ar-SA"/>
        </w:rPr>
        <w:t xml:space="preserve">第十九条 </w:t>
      </w:r>
      <w:r>
        <w:rPr>
          <w:rFonts w:hint="eastAsia" w:ascii="仿宋_GB2312" w:hAnsi="仿宋_GB2312" w:eastAsia="仿宋_GB2312" w:cs="仿宋_GB2312"/>
          <w:kern w:val="2"/>
          <w:sz w:val="32"/>
          <w:szCs w:val="32"/>
          <w:highlight w:val="none"/>
          <w:lang w:eastAsia="zh-CN"/>
        </w:rPr>
        <w:t>甲、乙双方均应保证其从另一方取得的所有无法自公开渠道获得的资料和文件（包括财务、技术等内容）予以保密。未经该资料和文件的原提供方同意，不得向任何第三方透露该资料和文件的任何部分，但按照法律、法规规定可做出披露的情况除外。本合同中保密的条款在本合同解除后仍然有效。</w:t>
      </w:r>
    </w:p>
    <w:p w14:paraId="4B4EAB9D">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left="160" w:leftChars="50" w:right="160" w:rightChars="50" w:firstLine="643" w:firstLineChars="200"/>
        <w:jc w:val="both"/>
        <w:textAlignment w:val="auto"/>
        <w:outlineLvl w:val="9"/>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 xml:space="preserve">第二十条 </w:t>
      </w:r>
      <w:r>
        <w:rPr>
          <w:rFonts w:hint="eastAsia" w:ascii="仿宋_GB2312" w:hAnsi="仿宋_GB2312" w:eastAsia="仿宋_GB2312" w:cs="仿宋_GB2312"/>
          <w:kern w:val="2"/>
          <w:sz w:val="32"/>
          <w:szCs w:val="32"/>
          <w:highlight w:val="none"/>
          <w:lang w:val="en-US" w:eastAsia="zh-CN"/>
        </w:rPr>
        <w:t>本合同经双方法定代表人/授权代理人签字并加盖双方公章或合同章，并经甲乙双方使用法人授权账号在电力交易平台中分别确认同意后生效。</w:t>
      </w:r>
    </w:p>
    <w:p w14:paraId="799803A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420" w:firstLineChars="200"/>
        <w:jc w:val="both"/>
        <w:textAlignment w:val="auto"/>
        <w:rPr>
          <w:rFonts w:hint="eastAsia" w:ascii="仿宋_GB2312" w:hAnsi="仿宋_GB2312" w:eastAsia="仿宋_GB2312" w:cs="仿宋_GB2312"/>
          <w:kern w:val="2"/>
          <w:sz w:val="21"/>
          <w:highlight w:val="none"/>
          <w:lang w:val="en-US" w:eastAsia="zh-CN" w:bidi="ar-SA"/>
        </w:rPr>
      </w:pPr>
    </w:p>
    <w:p w14:paraId="095124E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firstLine="0" w:firstLineChars="0"/>
        <w:jc w:val="center"/>
        <w:textAlignment w:val="auto"/>
        <w:outlineLvl w:val="9"/>
        <w:rPr>
          <w:rFonts w:hint="eastAsia" w:ascii="仿宋_GB2312" w:hAnsi="仿宋_GB2312" w:eastAsia="仿宋_GB2312" w:cs="仿宋_GB2312"/>
          <w:b/>
          <w:bCs/>
          <w:kern w:val="2"/>
          <w:sz w:val="44"/>
          <w:szCs w:val="44"/>
          <w:highlight w:val="none"/>
          <w:lang w:eastAsia="zh-CN"/>
        </w:rPr>
      </w:pPr>
      <w:r>
        <w:rPr>
          <w:rFonts w:hint="eastAsia" w:ascii="仿宋_GB2312" w:hAnsi="仿宋_GB2312" w:eastAsia="仿宋_GB2312" w:cs="仿宋_GB2312"/>
          <w:kern w:val="2"/>
          <w:sz w:val="32"/>
          <w:szCs w:val="32"/>
          <w:highlight w:val="none"/>
          <w:lang w:eastAsia="zh-CN"/>
        </w:rPr>
        <w:br w:type="page"/>
      </w:r>
      <w:r>
        <w:rPr>
          <w:rFonts w:hint="eastAsia" w:ascii="仿宋_GB2312" w:hAnsi="仿宋_GB2312" w:eastAsia="仿宋_GB2312" w:cs="仿宋_GB2312"/>
          <w:b/>
          <w:bCs/>
          <w:kern w:val="2"/>
          <w:sz w:val="44"/>
          <w:szCs w:val="44"/>
          <w:highlight w:val="none"/>
          <w:lang w:eastAsia="zh-CN"/>
        </w:rPr>
        <w:t>合同签署页</w:t>
      </w:r>
    </w:p>
    <w:p w14:paraId="41C0117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Lines="-2147483648" w:beforeAutospacing="0" w:after="0" w:afterLines="-2147483648" w:afterAutospacing="0" w:line="560" w:lineRule="exact"/>
        <w:ind w:firstLine="0" w:firstLineChars="0"/>
        <w:jc w:val="center"/>
        <w:textAlignment w:val="auto"/>
        <w:outlineLvl w:val="9"/>
        <w:rPr>
          <w:rFonts w:hint="eastAsia" w:ascii="仿宋_GB2312" w:hAnsi="仿宋_GB2312" w:eastAsia="仿宋_GB2312" w:cs="仿宋_GB2312"/>
          <w:b/>
          <w:bCs/>
          <w:kern w:val="2"/>
          <w:sz w:val="44"/>
          <w:szCs w:val="44"/>
          <w:highlight w:val="none"/>
          <w:lang w:eastAsia="zh-CN"/>
        </w:rPr>
      </w:pPr>
    </w:p>
    <w:tbl>
      <w:tblPr>
        <w:tblStyle w:val="9"/>
        <w:tblW w:w="8295" w:type="dxa"/>
        <w:jc w:val="center"/>
        <w:tblLayout w:type="fixed"/>
        <w:tblCellMar>
          <w:top w:w="0" w:type="dxa"/>
          <w:left w:w="108" w:type="dxa"/>
          <w:bottom w:w="0" w:type="dxa"/>
          <w:right w:w="108" w:type="dxa"/>
        </w:tblCellMar>
      </w:tblPr>
      <w:tblGrid>
        <w:gridCol w:w="4112"/>
        <w:gridCol w:w="4183"/>
      </w:tblGrid>
      <w:tr w14:paraId="6EC48BB8">
        <w:tblPrEx>
          <w:tblCellMar>
            <w:top w:w="0" w:type="dxa"/>
            <w:left w:w="108" w:type="dxa"/>
            <w:bottom w:w="0" w:type="dxa"/>
            <w:right w:w="108" w:type="dxa"/>
          </w:tblCellMar>
        </w:tblPrEx>
        <w:trPr>
          <w:jc w:val="center"/>
        </w:trPr>
        <w:tc>
          <w:tcPr>
            <w:tcW w:w="4112" w:type="dxa"/>
            <w:vAlign w:val="center"/>
          </w:tcPr>
          <w:p w14:paraId="68ED07C3">
            <w:pPr>
              <w:widowControl w:val="0"/>
              <w:wordWrap w:val="0"/>
              <w:snapToGrid w:val="0"/>
              <w:spacing w:before="0" w:beforeLines="-2147483648" w:after="0" w:afterLines="-2147483648" w:line="480" w:lineRule="exact"/>
              <w:ind w:firstLine="0" w:firstLineChars="0"/>
              <w:jc w:val="left"/>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甲方：</w:t>
            </w:r>
          </w:p>
          <w:p w14:paraId="1909D337">
            <w:pPr>
              <w:widowControl w:val="0"/>
              <w:wordWrap w:val="0"/>
              <w:snapToGrid w:val="0"/>
              <w:spacing w:before="0" w:beforeLines="-2147483648" w:after="0" w:afterLines="-2147483648" w:line="480" w:lineRule="exact"/>
              <w:ind w:firstLine="0" w:firstLineChars="0"/>
              <w:jc w:val="left"/>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（盖章）</w:t>
            </w:r>
          </w:p>
        </w:tc>
        <w:tc>
          <w:tcPr>
            <w:tcW w:w="4183" w:type="dxa"/>
            <w:vAlign w:val="center"/>
          </w:tcPr>
          <w:p w14:paraId="5595385B">
            <w:pPr>
              <w:widowControl w:val="0"/>
              <w:wordWrap w:val="0"/>
              <w:snapToGrid w:val="0"/>
              <w:spacing w:before="0" w:beforeLines="-2147483648" w:after="0" w:afterLines="-2147483648" w:line="480" w:lineRule="exact"/>
              <w:ind w:firstLine="0" w:firstLineChars="0"/>
              <w:jc w:val="left"/>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 xml:space="preserve">乙方： </w:t>
            </w:r>
          </w:p>
          <w:p w14:paraId="1B7767D2">
            <w:pPr>
              <w:widowControl w:val="0"/>
              <w:wordWrap w:val="0"/>
              <w:snapToGrid w:val="0"/>
              <w:spacing w:before="0" w:beforeLines="-2147483648" w:after="0" w:afterLines="-2147483648" w:line="480" w:lineRule="exact"/>
              <w:ind w:firstLine="0" w:firstLineChars="0"/>
              <w:jc w:val="left"/>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（盖章）</w:t>
            </w:r>
          </w:p>
        </w:tc>
      </w:tr>
      <w:tr w14:paraId="57935A37">
        <w:tblPrEx>
          <w:tblCellMar>
            <w:top w:w="0" w:type="dxa"/>
            <w:left w:w="108" w:type="dxa"/>
            <w:bottom w:w="0" w:type="dxa"/>
            <w:right w:w="108" w:type="dxa"/>
          </w:tblCellMar>
        </w:tblPrEx>
        <w:trPr>
          <w:jc w:val="center"/>
        </w:trPr>
        <w:tc>
          <w:tcPr>
            <w:tcW w:w="4112" w:type="dxa"/>
            <w:vAlign w:val="center"/>
          </w:tcPr>
          <w:p w14:paraId="42D422CF">
            <w:pPr>
              <w:widowControl w:val="0"/>
              <w:wordWrap w:val="0"/>
              <w:snapToGrid w:val="0"/>
              <w:spacing w:before="0" w:beforeLines="-2147483648" w:after="0" w:afterLines="-2147483648" w:line="480" w:lineRule="exact"/>
              <w:ind w:firstLine="0" w:firstLineChars="0"/>
              <w:jc w:val="left"/>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法定代表人或</w:t>
            </w:r>
          </w:p>
          <w:p w14:paraId="0A5AF7A5">
            <w:pPr>
              <w:widowControl w:val="0"/>
              <w:wordWrap w:val="0"/>
              <w:snapToGrid w:val="0"/>
              <w:spacing w:before="0" w:beforeLines="-2147483648" w:after="0" w:afterLines="-2147483648" w:line="480" w:lineRule="exact"/>
              <w:ind w:firstLine="0" w:firstLineChars="0"/>
              <w:jc w:val="left"/>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授权代表（签字）：</w:t>
            </w:r>
          </w:p>
        </w:tc>
        <w:tc>
          <w:tcPr>
            <w:tcW w:w="4183" w:type="dxa"/>
            <w:vAlign w:val="center"/>
          </w:tcPr>
          <w:p w14:paraId="3729FF30">
            <w:pPr>
              <w:widowControl w:val="0"/>
              <w:wordWrap w:val="0"/>
              <w:snapToGrid w:val="0"/>
              <w:spacing w:before="0" w:beforeLines="-2147483648" w:after="0" w:afterLines="-2147483648" w:line="480" w:lineRule="exact"/>
              <w:ind w:firstLine="0" w:firstLineChars="0"/>
              <w:jc w:val="left"/>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法定代表人或</w:t>
            </w:r>
          </w:p>
          <w:p w14:paraId="291533D4">
            <w:pPr>
              <w:widowControl w:val="0"/>
              <w:wordWrap w:val="0"/>
              <w:snapToGrid w:val="0"/>
              <w:spacing w:before="0" w:beforeLines="-2147483648" w:after="0" w:afterLines="-2147483648" w:line="480" w:lineRule="exact"/>
              <w:ind w:firstLine="0" w:firstLineChars="0"/>
              <w:jc w:val="left"/>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授权代表（签字）：</w:t>
            </w:r>
          </w:p>
        </w:tc>
      </w:tr>
      <w:tr w14:paraId="097F4691">
        <w:tblPrEx>
          <w:tblCellMar>
            <w:top w:w="0" w:type="dxa"/>
            <w:left w:w="108" w:type="dxa"/>
            <w:bottom w:w="0" w:type="dxa"/>
            <w:right w:w="108" w:type="dxa"/>
          </w:tblCellMar>
        </w:tblPrEx>
        <w:trPr>
          <w:jc w:val="center"/>
        </w:trPr>
        <w:tc>
          <w:tcPr>
            <w:tcW w:w="4112" w:type="dxa"/>
            <w:vAlign w:val="center"/>
          </w:tcPr>
          <w:p w14:paraId="4BF70C11">
            <w:pPr>
              <w:widowControl w:val="0"/>
              <w:wordWrap w:val="0"/>
              <w:snapToGrid w:val="0"/>
              <w:spacing w:before="0" w:beforeLines="-2147483648" w:after="0" w:afterLines="-2147483648" w:line="480" w:lineRule="exact"/>
              <w:ind w:firstLine="0" w:firstLineChars="0"/>
              <w:jc w:val="left"/>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签订日期：</w:t>
            </w:r>
          </w:p>
        </w:tc>
        <w:tc>
          <w:tcPr>
            <w:tcW w:w="4183" w:type="dxa"/>
            <w:vAlign w:val="center"/>
          </w:tcPr>
          <w:p w14:paraId="66A2908E">
            <w:pPr>
              <w:widowControl w:val="0"/>
              <w:wordWrap w:val="0"/>
              <w:snapToGrid w:val="0"/>
              <w:spacing w:before="0" w:beforeLines="-2147483648" w:after="0" w:afterLines="-2147483648" w:line="480" w:lineRule="exact"/>
              <w:ind w:firstLine="0" w:firstLineChars="0"/>
              <w:jc w:val="left"/>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签订日期：</w:t>
            </w:r>
          </w:p>
        </w:tc>
      </w:tr>
      <w:tr w14:paraId="40606FF9">
        <w:trPr>
          <w:jc w:val="center"/>
        </w:trPr>
        <w:tc>
          <w:tcPr>
            <w:tcW w:w="4112" w:type="dxa"/>
            <w:vAlign w:val="center"/>
          </w:tcPr>
          <w:p w14:paraId="096B5AF9">
            <w:pPr>
              <w:widowControl w:val="0"/>
              <w:wordWrap w:val="0"/>
              <w:snapToGrid w:val="0"/>
              <w:spacing w:before="0" w:beforeLines="-2147483648" w:after="0" w:afterLines="-2147483648" w:line="480" w:lineRule="exact"/>
              <w:ind w:firstLine="0" w:firstLineChars="0"/>
              <w:jc w:val="left"/>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地址：</w:t>
            </w:r>
          </w:p>
        </w:tc>
        <w:tc>
          <w:tcPr>
            <w:tcW w:w="4183" w:type="dxa"/>
            <w:vAlign w:val="center"/>
          </w:tcPr>
          <w:p w14:paraId="1027E97B">
            <w:pPr>
              <w:widowControl w:val="0"/>
              <w:wordWrap w:val="0"/>
              <w:snapToGrid w:val="0"/>
              <w:spacing w:before="0" w:beforeLines="-2147483648" w:after="0" w:afterLines="-2147483648" w:line="480" w:lineRule="exact"/>
              <w:ind w:firstLine="0" w:firstLineChars="0"/>
              <w:jc w:val="left"/>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地址：</w:t>
            </w:r>
          </w:p>
        </w:tc>
      </w:tr>
      <w:tr w14:paraId="20141511">
        <w:tblPrEx>
          <w:tblCellMar>
            <w:top w:w="0" w:type="dxa"/>
            <w:left w:w="108" w:type="dxa"/>
            <w:bottom w:w="0" w:type="dxa"/>
            <w:right w:w="108" w:type="dxa"/>
          </w:tblCellMar>
        </w:tblPrEx>
        <w:trPr>
          <w:jc w:val="center"/>
        </w:trPr>
        <w:tc>
          <w:tcPr>
            <w:tcW w:w="4112" w:type="dxa"/>
            <w:vAlign w:val="center"/>
          </w:tcPr>
          <w:p w14:paraId="13FA71A9">
            <w:pPr>
              <w:widowControl w:val="0"/>
              <w:wordWrap w:val="0"/>
              <w:snapToGrid w:val="0"/>
              <w:spacing w:before="0" w:beforeLines="-2147483648" w:after="0" w:afterLines="-2147483648" w:line="480" w:lineRule="exact"/>
              <w:ind w:firstLine="0" w:firstLineChars="0"/>
              <w:jc w:val="left"/>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联系人：</w:t>
            </w:r>
          </w:p>
        </w:tc>
        <w:tc>
          <w:tcPr>
            <w:tcW w:w="4183" w:type="dxa"/>
            <w:vAlign w:val="center"/>
          </w:tcPr>
          <w:p w14:paraId="53BA9ADB">
            <w:pPr>
              <w:widowControl w:val="0"/>
              <w:wordWrap w:val="0"/>
              <w:snapToGrid w:val="0"/>
              <w:spacing w:before="0" w:beforeLines="-2147483648" w:after="0" w:afterLines="-2147483648" w:line="480" w:lineRule="exact"/>
              <w:ind w:firstLine="0" w:firstLineChars="0"/>
              <w:jc w:val="left"/>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联系人：</w:t>
            </w:r>
          </w:p>
        </w:tc>
      </w:tr>
      <w:tr w14:paraId="77452D6D">
        <w:tblPrEx>
          <w:tblCellMar>
            <w:top w:w="0" w:type="dxa"/>
            <w:left w:w="108" w:type="dxa"/>
            <w:bottom w:w="0" w:type="dxa"/>
            <w:right w:w="108" w:type="dxa"/>
          </w:tblCellMar>
        </w:tblPrEx>
        <w:trPr>
          <w:jc w:val="center"/>
        </w:trPr>
        <w:tc>
          <w:tcPr>
            <w:tcW w:w="4112" w:type="dxa"/>
            <w:vAlign w:val="center"/>
          </w:tcPr>
          <w:p w14:paraId="70FF6322">
            <w:pPr>
              <w:widowControl w:val="0"/>
              <w:wordWrap w:val="0"/>
              <w:snapToGrid w:val="0"/>
              <w:spacing w:before="0" w:beforeLines="-2147483648" w:after="0" w:afterLines="-2147483648" w:line="480" w:lineRule="exact"/>
              <w:ind w:firstLine="0" w:firstLineChars="0"/>
              <w:jc w:val="left"/>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电话：</w:t>
            </w:r>
          </w:p>
        </w:tc>
        <w:tc>
          <w:tcPr>
            <w:tcW w:w="4183" w:type="dxa"/>
            <w:vAlign w:val="center"/>
          </w:tcPr>
          <w:p w14:paraId="1ABA687B">
            <w:pPr>
              <w:widowControl w:val="0"/>
              <w:wordWrap w:val="0"/>
              <w:snapToGrid w:val="0"/>
              <w:spacing w:before="0" w:beforeLines="-2147483648" w:after="0" w:afterLines="-2147483648" w:line="480" w:lineRule="exact"/>
              <w:ind w:firstLine="0" w:firstLineChars="0"/>
              <w:jc w:val="left"/>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电话：</w:t>
            </w:r>
          </w:p>
        </w:tc>
      </w:tr>
      <w:tr w14:paraId="2D42D2E2">
        <w:tblPrEx>
          <w:tblCellMar>
            <w:top w:w="0" w:type="dxa"/>
            <w:left w:w="108" w:type="dxa"/>
            <w:bottom w:w="0" w:type="dxa"/>
            <w:right w:w="108" w:type="dxa"/>
          </w:tblCellMar>
        </w:tblPrEx>
        <w:trPr>
          <w:jc w:val="center"/>
        </w:trPr>
        <w:tc>
          <w:tcPr>
            <w:tcW w:w="4112" w:type="dxa"/>
            <w:vAlign w:val="center"/>
          </w:tcPr>
          <w:p w14:paraId="796B6132">
            <w:pPr>
              <w:widowControl w:val="0"/>
              <w:wordWrap w:val="0"/>
              <w:snapToGrid w:val="0"/>
              <w:spacing w:before="0" w:beforeLines="-2147483648" w:after="0" w:afterLines="-2147483648" w:line="480" w:lineRule="exact"/>
              <w:ind w:firstLine="0" w:firstLineChars="0"/>
              <w:jc w:val="left"/>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 xml:space="preserve">统一社会信用代码： </w:t>
            </w:r>
          </w:p>
        </w:tc>
        <w:tc>
          <w:tcPr>
            <w:tcW w:w="4183" w:type="dxa"/>
            <w:vAlign w:val="center"/>
          </w:tcPr>
          <w:p w14:paraId="1E1A9FC8">
            <w:pPr>
              <w:widowControl w:val="0"/>
              <w:wordWrap w:val="0"/>
              <w:snapToGrid w:val="0"/>
              <w:spacing w:before="0" w:beforeLines="-2147483648" w:after="0" w:afterLines="-2147483648" w:line="480" w:lineRule="exact"/>
              <w:ind w:firstLine="0" w:firstLineChars="0"/>
              <w:jc w:val="left"/>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统一社会信用代码：</w:t>
            </w:r>
          </w:p>
        </w:tc>
      </w:tr>
    </w:tbl>
    <w:p w14:paraId="2C5414C3">
      <w:pPr>
        <w:widowControl w:val="0"/>
        <w:spacing w:before="0" w:beforeLines="-2147483648" w:after="0" w:afterLines="-2147483648" w:line="240" w:lineRule="auto"/>
        <w:ind w:firstLine="0" w:firstLineChars="0"/>
        <w:jc w:val="both"/>
        <w:rPr>
          <w:rFonts w:hint="eastAsia" w:ascii="方正仿宋_GBK" w:hAnsi="方正仿宋_GBK" w:eastAsia="方正仿宋_GBK" w:cs="方正仿宋_GBK"/>
          <w:kern w:val="2"/>
          <w:sz w:val="21"/>
          <w:szCs w:val="20"/>
          <w:highlight w:val="none"/>
          <w:lang w:eastAsia="zh-CN"/>
        </w:rPr>
      </w:pPr>
    </w:p>
    <w:p w14:paraId="45A37714">
      <w:pPr>
        <w:widowControl w:val="0"/>
        <w:spacing w:before="0" w:beforeLines="-2147483648" w:after="0" w:afterLines="-2147483648" w:line="560" w:lineRule="exact"/>
        <w:ind w:firstLine="0" w:firstLineChars="0"/>
        <w:jc w:val="both"/>
        <w:rPr>
          <w:rFonts w:hint="eastAsia" w:ascii="方正仿宋_GBK" w:hAnsi="方正仿宋_GBK" w:eastAsia="方正仿宋_GBK" w:cs="方正仿宋_GBK"/>
          <w:kern w:val="2"/>
          <w:sz w:val="32"/>
          <w:szCs w:val="32"/>
          <w:highlight w:val="none"/>
          <w:lang w:eastAsia="zh-CN"/>
        </w:rPr>
      </w:pPr>
    </w:p>
    <w:p w14:paraId="7BE1532F">
      <w:pPr>
        <w:widowControl w:val="0"/>
        <w:spacing w:before="0" w:beforeLines="-2147483648" w:after="0" w:afterLines="-2147483648" w:line="240" w:lineRule="auto"/>
        <w:ind w:firstLine="0" w:firstLineChars="0"/>
        <w:jc w:val="both"/>
        <w:rPr>
          <w:rFonts w:ascii="Calibri" w:hAnsi="Calibri" w:eastAsia="宋体" w:cs="Times New Roman"/>
          <w:kern w:val="2"/>
          <w:sz w:val="21"/>
          <w:szCs w:val="20"/>
          <w:highlight w:val="none"/>
          <w:lang w:eastAsia="zh-CN"/>
        </w:rPr>
      </w:pPr>
    </w:p>
    <w:p w14:paraId="3878DB13">
      <w:pPr>
        <w:widowControl w:val="0"/>
        <w:spacing w:before="0" w:beforeLines="0" w:after="0" w:afterLines="0" w:line="560" w:lineRule="exact"/>
        <w:ind w:firstLine="420" w:firstLineChars="200"/>
        <w:jc w:val="both"/>
        <w:rPr>
          <w:rFonts w:hint="eastAsia" w:ascii="Calibri" w:hAnsi="Calibri" w:eastAsia="宋体" w:cs="Times New Roman"/>
          <w:kern w:val="2"/>
          <w:sz w:val="21"/>
          <w:highlight w:val="none"/>
          <w:lang w:val="en-US" w:eastAsia="zh-CN" w:bidi="ar-SA"/>
        </w:rPr>
      </w:pPr>
    </w:p>
    <w:p w14:paraId="5AF15315">
      <w:pPr>
        <w:widowControl w:val="0"/>
        <w:spacing w:before="0" w:beforeLines="-2147483648" w:after="0" w:afterLines="-2147483648" w:line="240" w:lineRule="auto"/>
        <w:ind w:firstLine="0" w:firstLineChars="0"/>
        <w:jc w:val="both"/>
        <w:rPr>
          <w:rFonts w:hint="eastAsia" w:ascii="Calibri" w:hAnsi="Calibri" w:eastAsia="宋体" w:cs="Times New Roman"/>
          <w:kern w:val="2"/>
          <w:sz w:val="21"/>
          <w:szCs w:val="20"/>
          <w:highlight w:val="none"/>
          <w:lang w:val="en-US" w:eastAsia="zh-CN"/>
        </w:rPr>
      </w:pPr>
    </w:p>
    <w:p w14:paraId="70CA8039">
      <w:pPr>
        <w:widowControl/>
        <w:spacing w:before="0" w:beforeLines="0" w:after="0" w:afterLines="0" w:line="560" w:lineRule="exact"/>
        <w:ind w:left="0" w:leftChars="0" w:firstLine="0" w:firstLineChars="0"/>
        <w:jc w:val="left"/>
        <w:rPr>
          <w:rFonts w:ascii="仿宋_GB2312" w:hAnsi="仿宋_GB2312" w:eastAsia="仿宋_GB2312" w:cs="21"/>
          <w:kern w:val="0"/>
          <w:sz w:val="32"/>
          <w:highlight w:val="none"/>
          <w:lang w:eastAsia="zh-CN"/>
        </w:rPr>
      </w:pPr>
    </w:p>
    <w:p w14:paraId="25E52BE5">
      <w:pPr>
        <w:widowControl w:val="0"/>
        <w:spacing w:before="0" w:beforeLines="-2147483648" w:after="0" w:afterLines="-2147483648" w:line="240" w:lineRule="auto"/>
        <w:ind w:firstLine="0" w:firstLineChars="0"/>
        <w:jc w:val="both"/>
        <w:rPr>
          <w:rFonts w:ascii="Times New Roman" w:hAnsi="Times New Roman" w:eastAsia="宋体" w:cs="Times New Roman"/>
          <w:kern w:val="2"/>
          <w:sz w:val="21"/>
          <w:szCs w:val="20"/>
          <w:highlight w:val="none"/>
          <w:lang w:eastAsia="zh-CN"/>
        </w:rPr>
      </w:pPr>
    </w:p>
    <w:p w14:paraId="201FDBD7">
      <w:pPr>
        <w:widowControl/>
        <w:spacing w:before="0" w:beforeLines="0" w:after="0" w:afterLines="0" w:line="560" w:lineRule="exact"/>
        <w:ind w:left="0" w:leftChars="0" w:firstLine="0" w:firstLineChars="0"/>
        <w:jc w:val="left"/>
        <w:rPr>
          <w:rFonts w:hint="eastAsia" w:ascii="方正仿宋_GBK" w:hAnsi="方正仿宋_GBK" w:eastAsia="方正仿宋_GBK" w:cs="方正仿宋_GBK"/>
          <w:kern w:val="0"/>
          <w:sz w:val="32"/>
          <w:szCs w:val="32"/>
          <w:highlight w:val="none"/>
          <w:lang w:val="en-US" w:eastAsia="zh-CN"/>
        </w:rPr>
      </w:pPr>
    </w:p>
    <w:p w14:paraId="327B9930">
      <w:pPr>
        <w:widowControl/>
        <w:spacing w:before="0" w:beforeLines="0" w:after="0" w:afterLines="0" w:line="560" w:lineRule="exact"/>
        <w:ind w:firstLine="640" w:firstLineChars="200"/>
        <w:jc w:val="left"/>
        <w:rPr>
          <w:rFonts w:hint="default" w:ascii="仿宋_GB2312" w:hAnsi="仿宋_GB2312" w:eastAsia="仿宋_GB2312" w:cs="21"/>
          <w:kern w:val="0"/>
          <w:sz w:val="32"/>
          <w:highlight w:val="none"/>
          <w:lang w:val="en-US" w:eastAsia="zh-CN"/>
        </w:rPr>
      </w:pPr>
    </w:p>
    <w:p w14:paraId="02FED9E1">
      <w:pPr>
        <w:widowControl w:val="0"/>
        <w:spacing w:before="0" w:beforeLines="0" w:after="0" w:afterLines="0" w:line="560" w:lineRule="exact"/>
        <w:ind w:left="720" w:firstLine="0" w:firstLineChars="0"/>
        <w:jc w:val="left"/>
        <w:rPr>
          <w:rFonts w:hint="default" w:ascii="方正仿宋_GBK" w:hAnsi="方正仿宋_GBK" w:eastAsia="方正仿宋_GBK" w:cs="21"/>
          <w:kern w:val="2"/>
          <w:sz w:val="32"/>
          <w:szCs w:val="22"/>
          <w:highlight w:val="none"/>
          <w:lang w:val="en-US" w:eastAsia="zh-CN" w:bidi="ar-SA"/>
        </w:rPr>
      </w:pPr>
    </w:p>
    <w:p w14:paraId="06DEE5CC">
      <w:pPr>
        <w:widowControl/>
        <w:spacing w:before="0" w:beforeLines="0" w:after="0" w:afterLines="0" w:line="560" w:lineRule="exact"/>
        <w:ind w:firstLine="640" w:firstLineChars="200"/>
        <w:jc w:val="left"/>
        <w:rPr>
          <w:rFonts w:hint="default" w:ascii="仿宋_GB2312" w:hAnsi="仿宋_GB2312" w:eastAsia="仿宋_GB2312" w:cs="21"/>
          <w:kern w:val="0"/>
          <w:sz w:val="32"/>
          <w:highlight w:val="none"/>
          <w:lang w:val="en-US" w:eastAsia="zh-CN"/>
        </w:rPr>
      </w:pPr>
    </w:p>
    <w:p w14:paraId="070BAFE2">
      <w:pPr>
        <w:widowControl w:val="0"/>
        <w:spacing w:before="0" w:beforeLines="0" w:after="0" w:afterLines="0" w:line="560" w:lineRule="exact"/>
        <w:ind w:left="720" w:firstLine="0" w:firstLineChars="0"/>
        <w:jc w:val="left"/>
        <w:rPr>
          <w:rFonts w:hint="default" w:ascii="方正仿宋_GBK" w:hAnsi="方正仿宋_GBK" w:eastAsia="方正仿宋_GBK" w:cs="21"/>
          <w:kern w:val="2"/>
          <w:sz w:val="32"/>
          <w:szCs w:val="22"/>
          <w:highlight w:val="none"/>
          <w:lang w:val="en-US" w:eastAsia="zh-CN" w:bidi="ar-SA"/>
        </w:rPr>
      </w:pPr>
    </w:p>
    <w:p w14:paraId="60C6FB20">
      <w:pPr>
        <w:widowControl/>
        <w:spacing w:before="0" w:beforeLines="0" w:after="0" w:afterLines="0" w:line="560" w:lineRule="exact"/>
        <w:ind w:firstLine="640" w:firstLineChars="200"/>
        <w:jc w:val="left"/>
        <w:rPr>
          <w:rFonts w:hint="default" w:ascii="仿宋_GB2312" w:hAnsi="仿宋_GB2312" w:eastAsia="仿宋_GB2312" w:cs="21"/>
          <w:kern w:val="0"/>
          <w:sz w:val="32"/>
          <w:highlight w:val="none"/>
          <w:lang w:val="en-US" w:eastAsia="zh-CN"/>
        </w:rPr>
      </w:pPr>
    </w:p>
    <w:p w14:paraId="6D8BDC1F">
      <w:pPr>
        <w:widowControl w:val="0"/>
        <w:spacing w:before="0" w:beforeLines="0" w:after="0" w:afterLines="0" w:line="560" w:lineRule="exact"/>
        <w:ind w:left="720" w:firstLine="0" w:firstLineChars="0"/>
        <w:jc w:val="left"/>
        <w:rPr>
          <w:rFonts w:hint="default" w:ascii="方正仿宋_GBK" w:hAnsi="方正仿宋_GBK" w:eastAsia="方正仿宋_GBK" w:cs="21"/>
          <w:kern w:val="2"/>
          <w:sz w:val="32"/>
          <w:szCs w:val="22"/>
          <w:highlight w:val="none"/>
          <w:lang w:val="en-US" w:eastAsia="zh-CN" w:bidi="ar-SA"/>
        </w:rPr>
      </w:pPr>
    </w:p>
    <w:p w14:paraId="38183691">
      <w:pPr>
        <w:widowControl/>
        <w:spacing w:before="0" w:beforeLines="0" w:after="0" w:afterLines="0" w:line="560" w:lineRule="exact"/>
        <w:ind w:firstLine="640" w:firstLineChars="200"/>
        <w:jc w:val="left"/>
        <w:rPr>
          <w:rFonts w:hint="default" w:ascii="仿宋_GB2312" w:hAnsi="仿宋_GB2312" w:eastAsia="仿宋_GB2312" w:cs="21"/>
          <w:kern w:val="0"/>
          <w:sz w:val="32"/>
          <w:highlight w:val="none"/>
          <w:lang w:val="en-US" w:eastAsia="zh-CN"/>
        </w:rPr>
      </w:pPr>
    </w:p>
    <w:p w14:paraId="2E03E423">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0" w:beforeLines="-2147483648" w:after="0" w:afterLines="-2147483648" w:line="540" w:lineRule="exact"/>
        <w:ind w:firstLine="0" w:firstLineChars="0"/>
        <w:jc w:val="both"/>
        <w:textAlignment w:val="baseline"/>
        <w:rPr>
          <w:rFonts w:hint="default" w:ascii="黑体" w:hAnsi="黑体" w:eastAsia="黑体" w:cs="黑体"/>
          <w:snapToGrid w:val="0"/>
          <w:color w:val="000000" w:themeColor="text1"/>
          <w:kern w:val="0"/>
          <w:sz w:val="30"/>
          <w:szCs w:val="30"/>
          <w:highlight w:val="none"/>
          <w:lang w:val="en-US" w:eastAsia="zh-CN"/>
          <w14:textFill>
            <w14:solidFill>
              <w14:schemeClr w14:val="tx1"/>
            </w14:solidFill>
          </w14:textFill>
        </w:rPr>
      </w:pPr>
      <w:r>
        <w:rPr>
          <w:rFonts w:hint="eastAsia" w:ascii="黑体" w:hAnsi="黑体" w:eastAsia="黑体" w:cs="黑体"/>
          <w:snapToGrid w:val="0"/>
          <w:color w:val="000000" w:themeColor="text1"/>
          <w:kern w:val="0"/>
          <w:sz w:val="30"/>
          <w:szCs w:val="30"/>
          <w:highlight w:val="none"/>
          <w:lang w:val="en-US" w:eastAsia="zh-CN"/>
          <w14:textFill>
            <w14:solidFill>
              <w14:schemeClr w14:val="tx1"/>
            </w14:solidFill>
          </w14:textFill>
        </w:rPr>
        <w:t>附件3</w:t>
      </w:r>
    </w:p>
    <w:p w14:paraId="11818033">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left="0" w:leftChars="0" w:firstLine="0" w:firstLineChars="0"/>
        <w:jc w:val="center"/>
        <w:textAlignment w:val="auto"/>
        <w:rPr>
          <w:rFonts w:hint="eastAsia" w:ascii="方正小标宋_GBK" w:hAnsi="方正小标宋_GBK" w:eastAsia="方正小标宋_GBK" w:cs="方正小标宋_GBK"/>
          <w:b w:val="0"/>
          <w:bCs w:val="0"/>
          <w:color w:val="000000"/>
          <w:kern w:val="0"/>
          <w:sz w:val="44"/>
          <w:szCs w:val="44"/>
          <w:highlight w:val="none"/>
          <w:lang w:val="en-US" w:eastAsia="zh-CN" w:bidi="ar"/>
        </w:rPr>
      </w:pPr>
      <w:r>
        <w:rPr>
          <w:rFonts w:hint="eastAsia" w:ascii="方正小标宋_GBK" w:hAnsi="方正小标宋_GBK" w:eastAsia="方正小标宋_GBK" w:cs="方正小标宋_GBK"/>
          <w:b w:val="0"/>
          <w:bCs w:val="0"/>
          <w:color w:val="000000"/>
          <w:kern w:val="0"/>
          <w:sz w:val="44"/>
          <w:szCs w:val="44"/>
          <w:highlight w:val="none"/>
          <w:lang w:val="en-US" w:eastAsia="zh-CN" w:bidi="ar"/>
        </w:rPr>
        <w:t>宁夏回族自治区电能计量数据校验拟合规则</w:t>
      </w:r>
    </w:p>
    <w:p w14:paraId="22572CEC">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left="160" w:leftChars="50" w:right="160" w:rightChars="50" w:firstLine="0" w:firstLineChars="0"/>
        <w:jc w:val="center"/>
        <w:textAlignment w:val="auto"/>
        <w:rPr>
          <w:rFonts w:hint="eastAsia" w:ascii="黑体" w:hAnsi="黑体" w:eastAsia="黑体" w:cs="黑体"/>
          <w:b w:val="0"/>
          <w:bCs w:val="0"/>
          <w:color w:val="000000"/>
          <w:kern w:val="0"/>
          <w:sz w:val="32"/>
          <w:szCs w:val="32"/>
          <w:highlight w:val="none"/>
          <w:lang w:val="en-US" w:eastAsia="zh-CN" w:bidi="ar"/>
        </w:rPr>
      </w:pPr>
    </w:p>
    <w:p w14:paraId="5A42D437">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为</w:t>
      </w:r>
      <w:r>
        <w:rPr>
          <w:rFonts w:hint="eastAsia" w:ascii="仿宋_GB2312" w:hAnsi="仿宋_GB2312" w:eastAsia="仿宋_GB2312" w:cs="仿宋_GB2312"/>
          <w:kern w:val="2"/>
          <w:sz w:val="32"/>
          <w:szCs w:val="32"/>
          <w:highlight w:val="none"/>
          <w:lang w:eastAsia="zh-CN"/>
        </w:rPr>
        <w:t>支撑自治区</w:t>
      </w:r>
      <w:r>
        <w:rPr>
          <w:rFonts w:hint="eastAsia" w:ascii="仿宋_GB2312" w:hAnsi="仿宋_GB2312" w:eastAsia="仿宋_GB2312" w:cs="仿宋_GB2312"/>
          <w:kern w:val="2"/>
          <w:sz w:val="32"/>
          <w:szCs w:val="32"/>
          <w:highlight w:val="none"/>
          <w:lang w:val="en-US" w:eastAsia="zh-CN"/>
        </w:rPr>
        <w:t>电力市场</w:t>
      </w:r>
      <w:r>
        <w:rPr>
          <w:rFonts w:hint="eastAsia" w:ascii="仿宋_GB2312" w:hAnsi="仿宋_GB2312" w:eastAsia="仿宋_GB2312" w:cs="仿宋_GB2312"/>
          <w:kern w:val="2"/>
          <w:sz w:val="32"/>
          <w:szCs w:val="32"/>
          <w:highlight w:val="none"/>
          <w:lang w:eastAsia="zh-CN"/>
        </w:rPr>
        <w:t>分时段、现货交易规则有效落实，保障发用两侧分时段电能示值采集及时、完整、准确，</w:t>
      </w:r>
      <w:r>
        <w:rPr>
          <w:rFonts w:hint="eastAsia" w:ascii="仿宋_GB2312" w:hAnsi="仿宋_GB2312" w:eastAsia="仿宋_GB2312" w:cs="仿宋_GB2312"/>
          <w:kern w:val="2"/>
          <w:sz w:val="32"/>
          <w:szCs w:val="32"/>
          <w:highlight w:val="none"/>
          <w:lang w:val="en-US" w:eastAsia="zh-CN"/>
        </w:rPr>
        <w:t>按照《电力市场计量结算基本规则》制定本规则。</w:t>
      </w:r>
    </w:p>
    <w:p w14:paraId="257824CF">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3" w:firstLineChars="200"/>
        <w:jc w:val="both"/>
        <w:textAlignment w:val="auto"/>
        <w:outlineLvl w:val="1"/>
        <w:rPr>
          <w:rFonts w:hint="eastAsia" w:ascii="仿宋_GB2312" w:hAnsi="仿宋_GB2312" w:eastAsia="仿宋_GB2312" w:cs="仿宋_GB2312"/>
          <w:b/>
          <w:bCs/>
          <w:kern w:val="2"/>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rPr>
        <w:t>一、总体原则</w:t>
      </w:r>
    </w:p>
    <w:p w14:paraId="6B590A0C">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电能量计量数据唯一来源为电能计量装置，市场结算用电关口计量数据，原则上应由用电信息采集系统自动采集，受系统、技术以及现场客观因素制约，当计量装置数据缺失、错误或不可用时，电网企业应及时开展消缺、补采，在数据推送时限内仍未采集成功的，可根据本拟合结算规则补全计量数据，拟合数据与采集数据具有同等结算效力。若拟合导致当期电量为负，则当期电量按0结算。若交易双方对拟合数据存在异议，经现场复核后，在下一结算周期进行结算、追退补。</w:t>
      </w:r>
    </w:p>
    <w:p w14:paraId="79C39AC5">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3" w:firstLineChars="200"/>
        <w:jc w:val="both"/>
        <w:textAlignment w:val="auto"/>
        <w:outlineLvl w:val="1"/>
        <w:rPr>
          <w:rFonts w:hint="eastAsia" w:ascii="仿宋_GB2312" w:hAnsi="仿宋_GB2312" w:eastAsia="仿宋_GB2312" w:cs="仿宋_GB2312"/>
          <w:b/>
          <w:bCs/>
          <w:kern w:val="2"/>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rPr>
        <w:t>二、数据推送时限</w:t>
      </w:r>
    </w:p>
    <w:p w14:paraId="3A8C15B2">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按照参与电力市场交易的不同用户进行分类，确定数据及推</w:t>
      </w:r>
      <w:r>
        <w:rPr>
          <w:rFonts w:hint="eastAsia" w:ascii="仿宋_GB2312" w:hAnsi="仿宋_GB2312" w:eastAsia="仿宋_GB2312" w:cs="仿宋_GB2312"/>
          <w:b w:val="0"/>
          <w:bCs w:val="0"/>
          <w:kern w:val="2"/>
          <w:sz w:val="32"/>
          <w:szCs w:val="32"/>
          <w:highlight w:val="none"/>
          <w:lang w:val="en-US" w:eastAsia="zh-CN"/>
        </w:rPr>
        <w:t>送时限：</w:t>
      </w:r>
    </w:p>
    <w:p w14:paraId="5F2E4C52">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第一类：参与中长期市场连续运营、进入市场的发电企业（含分布式电源）及用户，跨省跨区输电通道，应按日提供前1日电能示值曲线数据及日冻结示值。</w:t>
      </w:r>
    </w:p>
    <w:p w14:paraId="5B5B5652">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第二类：执行灵活费率的用户，应按日提供前1日电能示值曲线数据及日冻结示值，每月第1日对全月历史数据进行复核补全。</w:t>
      </w:r>
    </w:p>
    <w:p w14:paraId="6F2A48EA">
      <w:pPr>
        <w:keepNext w:val="0"/>
        <w:keepLines w:val="0"/>
        <w:pageBreakBefore w:val="0"/>
        <w:widowControl w:val="0"/>
        <w:tabs>
          <w:tab w:val="left" w:pos="6930"/>
        </w:tabs>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第三类：其他用户（含代理购电用户）、未进入市场的发电企业（含作为价格接受者的分布式电源）于每月第1日提供月度冻结示值（含时段表码）。</w:t>
      </w:r>
    </w:p>
    <w:p w14:paraId="4598C04A">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3" w:firstLineChars="200"/>
        <w:jc w:val="both"/>
        <w:textAlignment w:val="auto"/>
        <w:outlineLvl w:val="1"/>
        <w:rPr>
          <w:rFonts w:hint="eastAsia" w:ascii="仿宋_GB2312" w:hAnsi="仿宋_GB2312" w:eastAsia="仿宋_GB2312" w:cs="仿宋_GB2312"/>
          <w:b/>
          <w:bCs/>
          <w:kern w:val="2"/>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rPr>
        <w:t>三、日冻结示值</w:t>
      </w:r>
    </w:p>
    <w:p w14:paraId="0FA5B623">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outlineLvl w:val="1"/>
        <w:rPr>
          <w:rFonts w:hint="eastAsia" w:ascii="仿宋_GB2312" w:hAnsi="仿宋_GB2312" w:eastAsia="仿宋_GB2312" w:cs="仿宋_GB2312"/>
          <w:b/>
          <w:bCs/>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对日冻结示值开展校核，校核不通过的，严格按照拟合规则步骤逐步开展拟合，若前一步骤已拟合补全所有数据并经</w:t>
      </w:r>
      <w:r>
        <w:rPr>
          <w:rFonts w:hint="eastAsia" w:ascii="仿宋_GB2312" w:hAnsi="仿宋_GB2312" w:eastAsia="仿宋_GB2312" w:cs="仿宋_GB2312"/>
          <w:kern w:val="2"/>
          <w:sz w:val="32"/>
          <w:szCs w:val="32"/>
          <w:highlight w:val="none"/>
          <w:lang w:val="en-US" w:eastAsia="zh-CN" w:bidi="ar-SA"/>
        </w:rPr>
        <w:t>过校核，则跳过后续步骤。</w:t>
      </w:r>
    </w:p>
    <w:p w14:paraId="4123253B">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3" w:firstLineChars="200"/>
        <w:jc w:val="both"/>
        <w:textAlignment w:val="auto"/>
        <w:outlineLvl w:val="1"/>
        <w:rPr>
          <w:rFonts w:hint="eastAsia" w:ascii="仿宋_GB2312" w:hAnsi="仿宋_GB2312" w:eastAsia="仿宋_GB2312" w:cs="仿宋_GB2312"/>
          <w:b/>
          <w:bCs/>
          <w:kern w:val="2"/>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rPr>
        <w:t>（一）日冻结示值校核规则</w:t>
      </w:r>
    </w:p>
    <w:p w14:paraId="58DBC15D">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1.负值：电能表T日冻结示值为负值。</w:t>
      </w:r>
    </w:p>
    <w:p w14:paraId="5C339587">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2.空值：电能表T日冻结示值为空值。</w:t>
      </w:r>
    </w:p>
    <w:p w14:paraId="3F79C8EA">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3.飞走：（T日冻结示值-（T-1）日冻结示值）&gt;电能表理论最大电量。电能表理论最大电量由如下规则确定：</w:t>
      </w:r>
    </w:p>
    <w:p w14:paraId="002C1AC9">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单相表：额定电压*最大电流*24*K；</w:t>
      </w:r>
    </w:p>
    <w:p w14:paraId="50B0E40E">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三相三线表：额定电压*最大电流*1.732*24*K；</w:t>
      </w:r>
    </w:p>
    <w:p w14:paraId="571F0E58">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三相四线表：额定电压*最大电流*3*24*K；</w:t>
      </w:r>
    </w:p>
    <w:p w14:paraId="6D51583B">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K为系数可配置，默认为2。</w:t>
      </w:r>
    </w:p>
    <w:p w14:paraId="1C7B92BD">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4.倒走：电能表(T-1)日冻结示值＞T日冻结示值。</w:t>
      </w:r>
    </w:p>
    <w:p w14:paraId="78392E76">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5.异常翻转：存在电能表异常翻转的日冻结示值。</w:t>
      </w:r>
    </w:p>
    <w:p w14:paraId="46E66268">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6.示值不平：|电能表T日冻结示值÷电能表最大量程取余数-(电能表T日冻结示值各费率之和÷电能表最大量程取余数)|＞K1*A，K1取0.25，A取电能表时段数。</w:t>
      </w:r>
    </w:p>
    <w:p w14:paraId="11A6E939">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7.一表多值：若电能表当日日冻结示值采集存在多个不同</w:t>
      </w:r>
      <w:r>
        <w:rPr>
          <w:rFonts w:hint="eastAsia" w:ascii="仿宋_GB2312" w:hAnsi="仿宋_GB2312" w:eastAsia="仿宋_GB2312" w:cs="仿宋_GB2312"/>
          <w:kern w:val="2"/>
          <w:sz w:val="32"/>
          <w:szCs w:val="32"/>
          <w:highlight w:val="none"/>
          <w:lang w:val="en-US" w:eastAsia="zh-CN"/>
        </w:rPr>
        <w:t>数据，则研判存在异常。</w:t>
      </w:r>
    </w:p>
    <w:p w14:paraId="626A24FA">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3" w:firstLineChars="200"/>
        <w:jc w:val="both"/>
        <w:textAlignment w:val="auto"/>
        <w:outlineLvl w:val="1"/>
        <w:rPr>
          <w:rFonts w:hint="eastAsia" w:ascii="仿宋_GB2312" w:hAnsi="仿宋_GB2312" w:eastAsia="仿宋_GB2312" w:cs="仿宋_GB2312"/>
          <w:b/>
          <w:bCs/>
          <w:kern w:val="2"/>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rPr>
        <w:t>（二）日冻结示值拟合规则</w:t>
      </w:r>
    </w:p>
    <w:p w14:paraId="2A9DBDD5">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1.曲线拟合：电能示值曲线的第24时数据采集成功，则直接替代日冻结示值。</w:t>
      </w:r>
    </w:p>
    <w:p w14:paraId="458F58E1">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2.参考表拟合：若电表存在参考表，且参考表数据校核无异常，则取参考表对应的拟合周期的增量电量加起码拟合日冻结示值。</w:t>
      </w:r>
    </w:p>
    <w:p w14:paraId="4DD7885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beforeAutospacing="0" w:after="0" w:afterLines="-2147483648" w:afterAutospacing="0" w:line="580" w:lineRule="exact"/>
        <w:ind w:leftChars="0" w:right="0" w:righ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24"/>
          <w:highlight w:val="none"/>
          <w:lang w:val="en-US" w:eastAsia="zh-CN"/>
        </w:rPr>
        <w:t>3.减容拟合</w:t>
      </w:r>
      <w:r>
        <w:rPr>
          <w:rFonts w:hint="eastAsia" w:ascii="仿宋_GB2312" w:hAnsi="仿宋_GB2312" w:eastAsia="仿宋_GB2312" w:cs="仿宋_GB2312"/>
          <w:b w:val="0"/>
          <w:bCs w:val="0"/>
          <w:kern w:val="2"/>
          <w:sz w:val="32"/>
          <w:szCs w:val="32"/>
          <w:highlight w:val="none"/>
          <w:lang w:val="en-US" w:eastAsia="zh-CN"/>
        </w:rPr>
        <w:t>：按减容流程录入的表码拟合。</w:t>
      </w:r>
    </w:p>
    <w:p w14:paraId="46F8AED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rPr>
          <w:rFonts w:hint="eastAsia" w:ascii="仿宋_GB2312" w:hAnsi="仿宋_GB2312" w:eastAsia="仿宋_GB2312" w:cs="仿宋_GB2312"/>
          <w:b w:val="0"/>
          <w:bCs w:val="0"/>
          <w:kern w:val="0"/>
          <w:sz w:val="32"/>
          <w:szCs w:val="24"/>
          <w:highlight w:val="none"/>
          <w:lang w:val="en-US" w:eastAsia="zh-CN" w:bidi="ar-SA"/>
        </w:rPr>
      </w:pPr>
      <w:r>
        <w:rPr>
          <w:rFonts w:hint="eastAsia" w:ascii="仿宋_GB2312" w:hAnsi="仿宋_GB2312" w:eastAsia="仿宋_GB2312" w:cs="仿宋_GB2312"/>
          <w:b w:val="0"/>
          <w:bCs w:val="0"/>
          <w:kern w:val="0"/>
          <w:sz w:val="32"/>
          <w:szCs w:val="24"/>
          <w:highlight w:val="none"/>
          <w:lang w:val="en-US" w:eastAsia="zh-CN" w:bidi="ar-SA"/>
        </w:rPr>
        <w:t>4.停电拟合</w:t>
      </w:r>
    </w:p>
    <w:p w14:paraId="102A4D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（1）若拟合时电能表或终端上报停电时间，无复电时间，则按停电时刻最近一次日冻结采集成功表码拟合。</w:t>
      </w:r>
    </w:p>
    <w:p w14:paraId="415E1A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（2）若拟合时有复电时间及表码，缺失表码采用平均差值拟合。</w:t>
      </w:r>
    </w:p>
    <w:p w14:paraId="78CAD857">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24"/>
          <w:highlight w:val="none"/>
          <w:lang w:val="en-US" w:eastAsia="zh-CN"/>
        </w:rPr>
        <w:t>5.连续采集失败拟合：</w:t>
      </w:r>
      <w:r>
        <w:rPr>
          <w:rFonts w:hint="eastAsia" w:ascii="仿宋_GB2312" w:hAnsi="仿宋_GB2312" w:eastAsia="仿宋_GB2312" w:cs="仿宋_GB2312"/>
          <w:b w:val="0"/>
          <w:bCs w:val="0"/>
          <w:kern w:val="2"/>
          <w:sz w:val="32"/>
          <w:szCs w:val="32"/>
          <w:highlight w:val="none"/>
          <w:lang w:val="en-US" w:eastAsia="zh-CN"/>
        </w:rPr>
        <w:t>当日冻结示值连续采集失败，则沿用最近日冻结示值。当最长超过15天连续采集失败，则不再拟合。</w:t>
      </w:r>
    </w:p>
    <w:p w14:paraId="4B381691">
      <w:pPr>
        <w:keepNext w:val="0"/>
        <w:keepLines w:val="0"/>
        <w:pageBreakBefore w:val="0"/>
        <w:widowControl w:val="0"/>
        <w:suppressLineNumbers w:val="0"/>
        <w:kinsoku/>
        <w:wordWrap/>
        <w:overflowPunct/>
        <w:topLinePunct w:val="0"/>
        <w:autoSpaceDE/>
        <w:autoSpaceDN/>
        <w:bidi w:val="0"/>
        <w:adjustRightInd/>
        <w:snapToGrid/>
        <w:spacing w:before="0" w:beforeLines="-2147483648" w:after="0" w:afterLines="-2147483648" w:line="580" w:lineRule="exact"/>
        <w:ind w:firstLine="643" w:firstLineChars="200"/>
        <w:jc w:val="both"/>
        <w:textAlignment w:val="auto"/>
        <w:outlineLvl w:val="1"/>
        <w:rPr>
          <w:rFonts w:hint="eastAsia" w:ascii="仿宋_GB2312" w:hAnsi="仿宋_GB2312" w:eastAsia="仿宋_GB2312" w:cs="仿宋_GB2312"/>
          <w:b/>
          <w:bCs/>
          <w:kern w:val="2"/>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rPr>
        <w:t>四、电能示值曲线数据</w:t>
      </w:r>
    </w:p>
    <w:p w14:paraId="55BE73F5">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outlineLvl w:val="1"/>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对电能示值曲线开展校核，校核不通过的，严格按照拟合规则步骤逐步开展拟合，若前一步骤已拟合补全所有数据并经</w:t>
      </w:r>
      <w:r>
        <w:rPr>
          <w:rFonts w:hint="eastAsia" w:ascii="仿宋_GB2312" w:hAnsi="仿宋_GB2312" w:eastAsia="仿宋_GB2312" w:cs="仿宋_GB2312"/>
          <w:kern w:val="2"/>
          <w:sz w:val="32"/>
          <w:szCs w:val="32"/>
          <w:highlight w:val="none"/>
          <w:lang w:val="en-US" w:eastAsia="zh-CN" w:bidi="ar-SA"/>
        </w:rPr>
        <w:t>过校核</w:t>
      </w:r>
      <w:r>
        <w:rPr>
          <w:rFonts w:hint="eastAsia" w:ascii="仿宋_GB2312" w:hAnsi="仿宋_GB2312" w:eastAsia="仿宋_GB2312" w:cs="仿宋_GB2312"/>
          <w:b w:val="0"/>
          <w:bCs w:val="0"/>
          <w:kern w:val="2"/>
          <w:sz w:val="32"/>
          <w:szCs w:val="32"/>
          <w:highlight w:val="none"/>
          <w:lang w:val="en-US" w:eastAsia="zh-CN" w:bidi="ar-SA"/>
        </w:rPr>
        <w:t>，则跳过后续步骤。</w:t>
      </w:r>
    </w:p>
    <w:p w14:paraId="738875B1">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ind w:firstLine="643" w:firstLineChars="200"/>
        <w:jc w:val="left"/>
        <w:textAlignment w:val="auto"/>
        <w:rPr>
          <w:rFonts w:hint="eastAsia" w:ascii="仿宋_GB2312" w:hAnsi="仿宋_GB2312" w:eastAsia="仿宋_GB2312" w:cs="仿宋_GB2312"/>
          <w:b/>
          <w:bCs/>
          <w:kern w:val="2"/>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rPr>
        <w:t>（一）电能示值曲线校核规则</w:t>
      </w:r>
    </w:p>
    <w:p w14:paraId="19F8409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beforeAutospacing="0" w:after="0" w:afterLines="-2147483648" w:afterAutospacing="0" w:line="580" w:lineRule="exact"/>
        <w:ind w:leftChars="0" w:right="0" w:righ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1.负值：96点曲线数据存在负数。</w:t>
      </w:r>
    </w:p>
    <w:p w14:paraId="418342D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beforeAutospacing="0" w:after="0" w:afterLines="-2147483648" w:afterAutospacing="0" w:line="580" w:lineRule="exact"/>
        <w:ind w:leftChars="0" w:right="0" w:righ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2.空值：96点曲线数据存在空值。</w:t>
      </w:r>
    </w:p>
    <w:p w14:paraId="1DB3F230">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3.飞走：电能示值曲线后一点大于前一点且示值差超表计理论最大电量。理论最大电量由如下规则确定：</w:t>
      </w:r>
    </w:p>
    <w:p w14:paraId="5AB5C79F">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单相表：额定电压*最大电流*0.25*K；</w:t>
      </w:r>
    </w:p>
    <w:p w14:paraId="40598A2C">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三相三线表：额定电压*最大电流*1.732*0.25*K；</w:t>
      </w:r>
    </w:p>
    <w:p w14:paraId="0F1D24A5">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三相四线表：额定电压*最大电流*3*0.25*K；</w:t>
      </w:r>
    </w:p>
    <w:p w14:paraId="6E3D5767">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K为系数可配置，默认为2。</w:t>
      </w:r>
    </w:p>
    <w:p w14:paraId="4A3C694F">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4.倒走：</w:t>
      </w:r>
      <w:r>
        <w:rPr>
          <w:rFonts w:hint="eastAsia" w:ascii="仿宋_GB2312" w:hAnsi="仿宋_GB2312" w:eastAsia="仿宋_GB2312" w:cs="仿宋_GB2312"/>
          <w:b w:val="0"/>
          <w:bCs w:val="0"/>
          <w:kern w:val="2"/>
          <w:sz w:val="32"/>
          <w:szCs w:val="32"/>
          <w:highlight w:val="none"/>
          <w:lang w:eastAsia="zh-CN"/>
        </w:rPr>
        <w:t>当后一点示值小于前一点示值时，则研判异常。 若电能示值曲线出现</w:t>
      </w:r>
      <w:r>
        <w:rPr>
          <w:rFonts w:hint="eastAsia" w:ascii="仿宋_GB2312" w:hAnsi="仿宋_GB2312" w:eastAsia="仿宋_GB2312" w:cs="仿宋_GB2312"/>
          <w:b w:val="0"/>
          <w:bCs w:val="0"/>
          <w:kern w:val="2"/>
          <w:sz w:val="32"/>
          <w:szCs w:val="32"/>
          <w:highlight w:val="none"/>
          <w:lang w:val="en-US" w:eastAsia="zh-CN"/>
        </w:rPr>
        <w:t>正常</w:t>
      </w:r>
      <w:r>
        <w:rPr>
          <w:rFonts w:hint="eastAsia" w:ascii="仿宋_GB2312" w:hAnsi="仿宋_GB2312" w:eastAsia="仿宋_GB2312" w:cs="仿宋_GB2312"/>
          <w:b w:val="0"/>
          <w:bCs w:val="0"/>
          <w:kern w:val="2"/>
          <w:sz w:val="32"/>
          <w:szCs w:val="32"/>
          <w:highlight w:val="none"/>
          <w:lang w:eastAsia="zh-CN"/>
        </w:rPr>
        <w:t>翻转，不做异常处置。</w:t>
      </w:r>
    </w:p>
    <w:p w14:paraId="0BB17C7F">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eastAsia="zh-CN"/>
        </w:rPr>
      </w:pPr>
      <w:r>
        <w:rPr>
          <w:rFonts w:hint="eastAsia" w:ascii="仿宋_GB2312" w:hAnsi="仿宋_GB2312" w:eastAsia="仿宋_GB2312" w:cs="仿宋_GB2312"/>
          <w:b w:val="0"/>
          <w:bCs w:val="0"/>
          <w:kern w:val="2"/>
          <w:sz w:val="32"/>
          <w:szCs w:val="32"/>
          <w:highlight w:val="none"/>
          <w:lang w:val="en-US" w:eastAsia="zh"/>
        </w:rPr>
        <w:t>若x点倒走，判断x点往后N点，是否存在大于等于x前一点的值，是则[x-1,x+N]之间的点标记为倒走，否则x点到最后一点，均标记倒走</w:t>
      </w:r>
      <w:r>
        <w:rPr>
          <w:rFonts w:hint="eastAsia" w:ascii="仿宋_GB2312" w:hAnsi="仿宋_GB2312" w:eastAsia="仿宋_GB2312" w:cs="仿宋_GB2312"/>
          <w:b w:val="0"/>
          <w:bCs w:val="0"/>
          <w:kern w:val="2"/>
          <w:sz w:val="32"/>
          <w:szCs w:val="32"/>
          <w:highlight w:val="none"/>
          <w:lang w:eastAsia="zh-CN"/>
        </w:rPr>
        <w:t>。</w:t>
      </w:r>
    </w:p>
    <w:p w14:paraId="2A900DB3">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5.起止点偏移：</w:t>
      </w:r>
    </w:p>
    <w:p w14:paraId="126E5B62">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（1）高精度电能表电能示值曲线0点/24点与日冻结示值偏差大于0.0001；</w:t>
      </w:r>
    </w:p>
    <w:p w14:paraId="6D062768">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58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（2）低精度电能表电能示值曲线0点/24点与日冻结示值偏差大于0.01。</w:t>
      </w:r>
    </w:p>
    <w:p w14:paraId="01EF2FF5">
      <w:pPr>
        <w:keepNext w:val="0"/>
        <w:keepLines w:val="0"/>
        <w:pageBreakBefore w:val="0"/>
        <w:widowControl w:val="0"/>
        <w:kinsoku/>
        <w:wordWrap/>
        <w:overflowPunct/>
        <w:topLinePunct w:val="0"/>
        <w:autoSpaceDE/>
        <w:autoSpaceDN/>
        <w:bidi w:val="0"/>
        <w:adjustRightInd/>
        <w:snapToGrid/>
        <w:spacing w:before="0" w:beforeLines="-2147483648" w:after="0" w:afterLines="-2147483648" w:line="580" w:lineRule="exact"/>
        <w:ind w:firstLine="643" w:firstLineChars="200"/>
        <w:jc w:val="both"/>
        <w:textAlignment w:val="auto"/>
        <w:outlineLvl w:val="1"/>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rPr>
        <w:t>（二）电能示值曲线拟合规则</w:t>
      </w:r>
      <w:r>
        <w:rPr>
          <w:rFonts w:hint="eastAsia" w:ascii="仿宋_GB2312" w:hAnsi="仿宋_GB2312" w:eastAsia="仿宋_GB2312" w:cs="仿宋_GB2312"/>
          <w:b w:val="0"/>
          <w:bCs w:val="0"/>
          <w:kern w:val="2"/>
          <w:sz w:val="32"/>
          <w:szCs w:val="32"/>
          <w:highlight w:val="none"/>
          <w:lang w:val="en-US" w:eastAsia="zh-CN"/>
        </w:rPr>
        <w:t xml:space="preserve"> </w:t>
      </w:r>
    </w:p>
    <w:p w14:paraId="2BD3A4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1.0/24点数据拟合：采用日冻结示值替代电能示值曲线0点或24点的缺值。</w:t>
      </w:r>
    </w:p>
    <w:p w14:paraId="7F4133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2.拆换表拟合：</w:t>
      </w:r>
      <w:r>
        <w:rPr>
          <w:rFonts w:hint="eastAsia" w:ascii="仿宋_GB2312" w:hAnsi="仿宋_GB2312" w:eastAsia="仿宋_GB2312" w:cs="仿宋_GB2312"/>
          <w:b w:val="0"/>
          <w:bCs w:val="0"/>
          <w:kern w:val="2"/>
          <w:sz w:val="32"/>
          <w:szCs w:val="32"/>
          <w:highlight w:val="none"/>
          <w:lang w:val="en-US" w:eastAsia="zh-CN" w:bidi="ar-SA"/>
        </w:rPr>
        <w:t>旧表最后一个正常电能示值后的缺点取用换表流程中录入的电能示值补全。新表第一个采集正常电能示值前缺点用0进行补全。</w:t>
      </w:r>
    </w:p>
    <w:p w14:paraId="4FEE85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3.参考表拟合：</w:t>
      </w:r>
      <w:r>
        <w:rPr>
          <w:rFonts w:hint="eastAsia" w:ascii="仿宋_GB2312" w:hAnsi="仿宋_GB2312" w:eastAsia="仿宋_GB2312" w:cs="仿宋_GB2312"/>
          <w:b w:val="0"/>
          <w:bCs w:val="0"/>
          <w:kern w:val="2"/>
          <w:sz w:val="32"/>
          <w:szCs w:val="32"/>
          <w:highlight w:val="none"/>
          <w:lang w:val="en-US" w:eastAsia="zh-CN" w:bidi="ar-SA"/>
        </w:rPr>
        <w:t>同日冻结示值拟合规则。</w:t>
      </w:r>
    </w:p>
    <w:p w14:paraId="10E426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4.减容拟合：</w:t>
      </w:r>
      <w:r>
        <w:rPr>
          <w:rFonts w:hint="eastAsia" w:ascii="仿宋_GB2312" w:hAnsi="仿宋_GB2312" w:eastAsia="仿宋_GB2312" w:cs="仿宋_GB2312"/>
          <w:b w:val="0"/>
          <w:bCs w:val="0"/>
          <w:kern w:val="2"/>
          <w:sz w:val="32"/>
          <w:szCs w:val="32"/>
          <w:highlight w:val="none"/>
          <w:lang w:val="en-US" w:eastAsia="zh-CN" w:bidi="ar-SA"/>
        </w:rPr>
        <w:t>同日冻结示值拟合规则。</w:t>
      </w:r>
    </w:p>
    <w:p w14:paraId="2F181E9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5.停电拟合：</w:t>
      </w:r>
      <w:r>
        <w:rPr>
          <w:rFonts w:hint="eastAsia" w:ascii="仿宋_GB2312" w:hAnsi="仿宋_GB2312" w:eastAsia="仿宋_GB2312" w:cs="仿宋_GB2312"/>
          <w:b w:val="0"/>
          <w:bCs w:val="0"/>
          <w:kern w:val="2"/>
          <w:sz w:val="32"/>
          <w:szCs w:val="32"/>
          <w:highlight w:val="none"/>
          <w:lang w:val="en-US" w:eastAsia="zh-CN" w:bidi="ar-SA"/>
        </w:rPr>
        <w:t>同日冻结示值拟合规则。</w:t>
      </w:r>
    </w:p>
    <w:p w14:paraId="04F121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rPr>
          <w:rFonts w:hint="eastAsia" w:ascii="仿宋_GB2312" w:hAnsi="仿宋_GB2312" w:eastAsia="仿宋_GB2312" w:cs="仿宋_GB2312"/>
          <w:b w:val="0"/>
          <w:bCs w:val="0"/>
          <w:kern w:val="2"/>
          <w:sz w:val="32"/>
          <w:szCs w:val="32"/>
          <w:highlight w:val="none"/>
          <w:u w:val="none"/>
          <w:lang w:val="en-US" w:eastAsia="zh-CN" w:bidi="ar-SA"/>
        </w:rPr>
      </w:pPr>
      <w:r>
        <w:rPr>
          <w:rFonts w:hint="eastAsia" w:ascii="仿宋_GB2312" w:hAnsi="仿宋_GB2312" w:eastAsia="仿宋_GB2312" w:cs="仿宋_GB2312"/>
          <w:b w:val="0"/>
          <w:bCs w:val="0"/>
          <w:kern w:val="2"/>
          <w:sz w:val="32"/>
          <w:szCs w:val="32"/>
          <w:highlight w:val="none"/>
          <w:u w:val="none"/>
          <w:lang w:val="en-US" w:eastAsia="zh-CN" w:bidi="ar-SA"/>
        </w:rPr>
        <w:t>6.曲线缺点拟合：连续缺失X个及以下点位取该缺失时段前后起止码按</w:t>
      </w:r>
      <w:r>
        <w:rPr>
          <w:rFonts w:hint="eastAsia" w:ascii="仿宋_GB2312" w:hAnsi="仿宋_GB2312" w:eastAsia="仿宋_GB2312" w:cs="仿宋_GB2312"/>
          <w:b w:val="0"/>
          <w:bCs w:val="0"/>
          <w:kern w:val="0"/>
          <w:sz w:val="32"/>
          <w:szCs w:val="24"/>
          <w:highlight w:val="none"/>
          <w:lang w:val="en-US" w:eastAsia="zh-CN" w:bidi="ar-SA"/>
        </w:rPr>
        <w:t>平均差值</w:t>
      </w:r>
      <w:r>
        <w:rPr>
          <w:rFonts w:hint="eastAsia" w:ascii="仿宋_GB2312" w:hAnsi="仿宋_GB2312" w:eastAsia="仿宋_GB2312" w:cs="仿宋_GB2312"/>
          <w:b w:val="0"/>
          <w:bCs w:val="0"/>
          <w:kern w:val="2"/>
          <w:sz w:val="32"/>
          <w:szCs w:val="32"/>
          <w:highlight w:val="none"/>
          <w:u w:val="none"/>
          <w:lang w:val="en-US" w:eastAsia="zh-CN" w:bidi="ar-SA"/>
        </w:rPr>
        <w:t>拟合；连续缺失X个以上点位用典型日曲线走势进行拟合。</w:t>
      </w:r>
      <w:r>
        <w:rPr>
          <w:rFonts w:hint="eastAsia" w:ascii="仿宋_GB2312" w:hAnsi="仿宋_GB2312" w:eastAsia="仿宋_GB2312" w:cs="仿宋_GB2312"/>
          <w:b w:val="0"/>
          <w:bCs w:val="0"/>
          <w:kern w:val="0"/>
          <w:sz w:val="32"/>
          <w:szCs w:val="32"/>
          <w:highlight w:val="none"/>
          <w:lang w:val="en-US" w:eastAsia="zh-CN" w:bidi="ar-SA"/>
        </w:rPr>
        <w:t>典型日指最近一次采集成功的相似曲线日，工作日对应工作日，节假日对应节假日。</w:t>
      </w:r>
      <w:r>
        <w:rPr>
          <w:rFonts w:hint="eastAsia" w:ascii="仿宋_GB2312" w:hAnsi="仿宋_GB2312" w:eastAsia="仿宋_GB2312" w:cs="仿宋_GB2312"/>
          <w:b w:val="0"/>
          <w:bCs w:val="0"/>
          <w:kern w:val="2"/>
          <w:sz w:val="32"/>
          <w:szCs w:val="32"/>
          <w:highlight w:val="none"/>
          <w:u w:val="none"/>
          <w:lang w:val="en-US" w:eastAsia="zh-CN" w:bidi="ar-SA"/>
        </w:rPr>
        <w:t>第一类用户X取4，第二类用户X取48。</w:t>
      </w:r>
    </w:p>
    <w:p w14:paraId="5E93AED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rPr>
          <w:rFonts w:hint="default" w:ascii="方正仿宋_GBK" w:hAnsi="方正仿宋_GBK" w:eastAsia="方正仿宋_GBK" w:cs="方正仿宋_GBK"/>
          <w:b/>
          <w:bCs/>
          <w:kern w:val="0"/>
          <w:sz w:val="32"/>
          <w:szCs w:val="32"/>
          <w:highlight w:val="none"/>
          <w:lang w:val="en-US" w:eastAsia="zh-CN" w:bidi="ar"/>
        </w:rPr>
      </w:pPr>
      <w:r>
        <w:rPr>
          <w:rFonts w:hint="eastAsia" w:ascii="仿宋_GB2312" w:hAnsi="仿宋_GB2312" w:eastAsia="仿宋_GB2312" w:cs="仿宋_GB2312"/>
          <w:b w:val="0"/>
          <w:bCs w:val="0"/>
          <w:kern w:val="0"/>
          <w:sz w:val="32"/>
          <w:szCs w:val="32"/>
          <w:highlight w:val="none"/>
          <w:lang w:val="en-US" w:eastAsia="zh-CN" w:bidi="ar-SA"/>
        </w:rPr>
        <w:t>7.连续采集失败拟合：当96点曲线连续多天采集失败，则沿用上个典型日电能</w:t>
      </w:r>
      <w:r>
        <w:rPr>
          <w:rFonts w:hint="eastAsia" w:ascii="仿宋_GB2312" w:hAnsi="仿宋_GB2312" w:eastAsia="仿宋_GB2312" w:cs="仿宋_GB2312"/>
          <w:b w:val="0"/>
          <w:bCs w:val="0"/>
          <w:kern w:val="2"/>
          <w:sz w:val="32"/>
          <w:szCs w:val="32"/>
          <w:highlight w:val="none"/>
          <w:u w:val="none"/>
          <w:lang w:val="en-US" w:eastAsia="zh-CN" w:bidi="ar-SA"/>
        </w:rPr>
        <w:t>示值</w:t>
      </w:r>
      <w:r>
        <w:rPr>
          <w:rFonts w:hint="eastAsia" w:ascii="仿宋_GB2312" w:hAnsi="仿宋_GB2312" w:eastAsia="仿宋_GB2312" w:cs="仿宋_GB2312"/>
          <w:b w:val="0"/>
          <w:bCs w:val="0"/>
          <w:kern w:val="0"/>
          <w:sz w:val="32"/>
          <w:szCs w:val="32"/>
          <w:highlight w:val="none"/>
          <w:lang w:val="en-US" w:eastAsia="zh-CN" w:bidi="ar-SA"/>
        </w:rPr>
        <w:t>曲线走势进行拟合。</w:t>
      </w:r>
    </w:p>
    <w:sectPr>
      <w:footerReference r:id="rId6" w:type="default"/>
      <w:pgSz w:w="11906" w:h="16838"/>
      <w:pgMar w:top="1440" w:right="1587" w:bottom="1440" w:left="1587" w:header="851" w:footer="992" w:gutter="0"/>
      <w:pgNumType w:fmt="decimal"/>
      <w:cols w:space="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21">
    <w:altName w:val="Credit River"/>
    <w:panose1 w:val="00000000000000000000"/>
    <w:charset w:val="00"/>
    <w:family w:val="auto"/>
    <w:pitch w:val="default"/>
    <w:sig w:usb0="00000000" w:usb1="00000000" w:usb2="00000000" w:usb3="00000000" w:csb0="00000000" w:csb1="00000000"/>
  </w:font>
  <w:font w:name="Credit River">
    <w:panose1 w:val="00000400000000000000"/>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泉驿微米黑">
    <w:panose1 w:val="020B0606030804020204"/>
    <w:charset w:val="86"/>
    <w:family w:val="auto"/>
    <w:pitch w:val="default"/>
    <w:sig w:usb0="E10002EF" w:usb1="6BDFFCFB" w:usb2="00800036" w:usb3="00000000" w:csb0="603E019F" w:csb1="DFD7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BE966">
    <w:pPr>
      <w:widowControl w:val="0"/>
      <w:snapToGrid w:val="0"/>
      <w:spacing w:before="0" w:beforeLines="0" w:after="0" w:afterLines="0" w:line="560" w:lineRule="exact"/>
      <w:ind w:firstLine="360" w:firstLineChars="200"/>
      <w:jc w:val="left"/>
      <w:rPr>
        <w:rFonts w:ascii="仿宋_GB2312" w:hAnsi="仿宋_GB2312" w:eastAsia="仿宋_GB2312" w:cs="21"/>
        <w:kern w:val="2"/>
        <w:sz w:val="18"/>
        <w:szCs w:val="22"/>
        <w:lang w:val="en-US" w:eastAsia="en-US" w:bidi="ar-SA"/>
      </w:rPr>
    </w:pPr>
    <w:r>
      <w:rPr>
        <w:rFonts w:ascii="Calibri" w:hAnsi="Calibri" w:eastAsia="宋体" w:cs="Times New Roman"/>
        <w:kern w:val="2"/>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E59FF">
                          <w:pPr>
                            <w:widowControl w:val="0"/>
                            <w:snapToGrid w:val="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fldChar w:fldCharType="begin"/>
                          </w:r>
                          <w:r>
                            <w:rPr>
                              <w:rFonts w:hint="eastAsia" w:ascii="方正仿宋_GBK" w:hAnsi="方正仿宋_GBK" w:eastAsia="方正仿宋_GBK" w:cs="方正仿宋_GBK"/>
                              <w:kern w:val="2"/>
                              <w:sz w:val="32"/>
                              <w:szCs w:val="32"/>
                              <w:lang w:val="en-US" w:eastAsia="zh-CN" w:bidi="ar-SA"/>
                            </w:rPr>
                            <w:instrText xml:space="preserve"> PAGE  \* MERGEFORMAT </w:instrText>
                          </w:r>
                          <w:r>
                            <w:rPr>
                              <w:rFonts w:hint="eastAsia" w:ascii="方正仿宋_GBK" w:hAnsi="方正仿宋_GBK" w:eastAsia="方正仿宋_GBK" w:cs="方正仿宋_GBK"/>
                              <w:kern w:val="2"/>
                              <w:sz w:val="32"/>
                              <w:szCs w:val="32"/>
                              <w:lang w:val="en-US" w:eastAsia="zh-CN" w:bidi="ar-SA"/>
                            </w:rPr>
                            <w:fldChar w:fldCharType="separate"/>
                          </w:r>
                          <w:r>
                            <w:rPr>
                              <w:rFonts w:hint="eastAsia" w:ascii="方正仿宋_GBK" w:hAnsi="方正仿宋_GBK" w:eastAsia="方正仿宋_GBK" w:cs="方正仿宋_GBK"/>
                              <w:kern w:val="2"/>
                              <w:sz w:val="32"/>
                              <w:szCs w:val="32"/>
                              <w:lang w:val="en-US" w:eastAsia="zh-CN" w:bidi="ar-SA"/>
                            </w:rPr>
                            <w:t>- 1 -</w:t>
                          </w:r>
                          <w:r>
                            <w:rPr>
                              <w:rFonts w:hint="eastAsia" w:ascii="方正仿宋_GBK" w:hAnsi="方正仿宋_GBK" w:eastAsia="方正仿宋_GBK" w:cs="方正仿宋_GBK"/>
                              <w:kern w:val="2"/>
                              <w:sz w:val="32"/>
                              <w:szCs w:val="32"/>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5CEE59FF">
                    <w:pPr>
                      <w:widowControl w:val="0"/>
                      <w:snapToGrid w:val="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fldChar w:fldCharType="begin"/>
                    </w:r>
                    <w:r>
                      <w:rPr>
                        <w:rFonts w:hint="eastAsia" w:ascii="方正仿宋_GBK" w:hAnsi="方正仿宋_GBK" w:eastAsia="方正仿宋_GBK" w:cs="方正仿宋_GBK"/>
                        <w:kern w:val="2"/>
                        <w:sz w:val="32"/>
                        <w:szCs w:val="32"/>
                        <w:lang w:val="en-US" w:eastAsia="zh-CN" w:bidi="ar-SA"/>
                      </w:rPr>
                      <w:instrText xml:space="preserve"> PAGE  \* MERGEFORMAT </w:instrText>
                    </w:r>
                    <w:r>
                      <w:rPr>
                        <w:rFonts w:hint="eastAsia" w:ascii="方正仿宋_GBK" w:hAnsi="方正仿宋_GBK" w:eastAsia="方正仿宋_GBK" w:cs="方正仿宋_GBK"/>
                        <w:kern w:val="2"/>
                        <w:sz w:val="32"/>
                        <w:szCs w:val="32"/>
                        <w:lang w:val="en-US" w:eastAsia="zh-CN" w:bidi="ar-SA"/>
                      </w:rPr>
                      <w:fldChar w:fldCharType="separate"/>
                    </w:r>
                    <w:r>
                      <w:rPr>
                        <w:rFonts w:hint="eastAsia" w:ascii="方正仿宋_GBK" w:hAnsi="方正仿宋_GBK" w:eastAsia="方正仿宋_GBK" w:cs="方正仿宋_GBK"/>
                        <w:kern w:val="2"/>
                        <w:sz w:val="32"/>
                        <w:szCs w:val="32"/>
                        <w:lang w:val="en-US" w:eastAsia="zh-CN" w:bidi="ar-SA"/>
                      </w:rPr>
                      <w:t>- 1 -</w:t>
                    </w:r>
                    <w:r>
                      <w:rPr>
                        <w:rFonts w:hint="eastAsia" w:ascii="方正仿宋_GBK" w:hAnsi="方正仿宋_GBK" w:eastAsia="方正仿宋_GBK" w:cs="方正仿宋_GBK"/>
                        <w:kern w:val="2"/>
                        <w:sz w:val="32"/>
                        <w:szCs w:val="32"/>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29013">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2430145</wp:posOffset>
              </wp:positionH>
              <wp:positionV relativeFrom="paragraph">
                <wp:posOffset>0</wp:posOffset>
              </wp:positionV>
              <wp:extent cx="6096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96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33904">
                          <w:pPr>
                            <w:snapToGrid w:val="0"/>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1.35pt;margin-top:0pt;height:144pt;width:48pt;mso-position-horizontal-relative:margin;z-index:251659264;mso-width-relative:page;mso-height-relative:page;" filled="f" stroked="f" coordsize="21600,21600" o:gfxdata="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FrkF9YAAAAIAQAADwAAAAAAAAABACAAAAAiAAAAZHJzL2Rvd25yZXYu&#10;eG1sUEsBAhQAFAAAAAgAh07iQHGZKBc2AgAAYgQAAA4AAAAAAAAAAQAgAAAAJQEAAGRycy9lMm9E&#10;b2MueG1sUEsFBgAAAAAGAAYAWQEAAM0FAAAAAA==&#10;">
              <v:fill on="f" focussize="0,0"/>
              <v:stroke on="f" weight="0.5pt"/>
              <v:imagedata o:title=""/>
              <o:lock v:ext="edit" aspectratio="f"/>
              <v:textbox inset="0mm,0mm,0mm,0mm" style="mso-fit-shape-to-text:t;">
                <w:txbxContent>
                  <w:p w14:paraId="57633904">
                    <w:pPr>
                      <w:snapToGrid w:val="0"/>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218"/>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54356"/>
    <w:rsid w:val="000D4BBB"/>
    <w:rsid w:val="001224EE"/>
    <w:rsid w:val="002A2326"/>
    <w:rsid w:val="00437483"/>
    <w:rsid w:val="004D58E0"/>
    <w:rsid w:val="006F23F2"/>
    <w:rsid w:val="00816077"/>
    <w:rsid w:val="00BF29B4"/>
    <w:rsid w:val="00E0619D"/>
    <w:rsid w:val="00E17976"/>
    <w:rsid w:val="00E20A55"/>
    <w:rsid w:val="012E32CF"/>
    <w:rsid w:val="016A2BA6"/>
    <w:rsid w:val="017A132B"/>
    <w:rsid w:val="019D6308"/>
    <w:rsid w:val="01AA7913"/>
    <w:rsid w:val="01F630B6"/>
    <w:rsid w:val="021A672E"/>
    <w:rsid w:val="02512C89"/>
    <w:rsid w:val="025A62FE"/>
    <w:rsid w:val="02762BB9"/>
    <w:rsid w:val="02C62874"/>
    <w:rsid w:val="02DC1BE3"/>
    <w:rsid w:val="02FA7BAC"/>
    <w:rsid w:val="02FB3464"/>
    <w:rsid w:val="03072DB2"/>
    <w:rsid w:val="030D53DE"/>
    <w:rsid w:val="0326472A"/>
    <w:rsid w:val="032A3C24"/>
    <w:rsid w:val="034A75A0"/>
    <w:rsid w:val="03682AA0"/>
    <w:rsid w:val="03894BF7"/>
    <w:rsid w:val="039E4989"/>
    <w:rsid w:val="03B16E2B"/>
    <w:rsid w:val="03BA59CB"/>
    <w:rsid w:val="03BC23C1"/>
    <w:rsid w:val="03D52917"/>
    <w:rsid w:val="03DC3E1D"/>
    <w:rsid w:val="03EA1F32"/>
    <w:rsid w:val="043E0377"/>
    <w:rsid w:val="04424FBC"/>
    <w:rsid w:val="044A4511"/>
    <w:rsid w:val="046D102F"/>
    <w:rsid w:val="04876372"/>
    <w:rsid w:val="04B30CB4"/>
    <w:rsid w:val="04B675E3"/>
    <w:rsid w:val="04D23FFC"/>
    <w:rsid w:val="04E3237C"/>
    <w:rsid w:val="04E84875"/>
    <w:rsid w:val="04FB2D4C"/>
    <w:rsid w:val="05181C28"/>
    <w:rsid w:val="051D26D8"/>
    <w:rsid w:val="052467A8"/>
    <w:rsid w:val="053049B0"/>
    <w:rsid w:val="0537098C"/>
    <w:rsid w:val="05631463"/>
    <w:rsid w:val="057F3462"/>
    <w:rsid w:val="058A0626"/>
    <w:rsid w:val="05C932CD"/>
    <w:rsid w:val="05EC50E9"/>
    <w:rsid w:val="05F01291"/>
    <w:rsid w:val="05F604D6"/>
    <w:rsid w:val="05F945BA"/>
    <w:rsid w:val="0642219D"/>
    <w:rsid w:val="06624BF6"/>
    <w:rsid w:val="067347DB"/>
    <w:rsid w:val="067E4F93"/>
    <w:rsid w:val="067F2601"/>
    <w:rsid w:val="06AE6D54"/>
    <w:rsid w:val="06D60B5C"/>
    <w:rsid w:val="06F06F34"/>
    <w:rsid w:val="06F17BC9"/>
    <w:rsid w:val="070D2E16"/>
    <w:rsid w:val="07154200"/>
    <w:rsid w:val="07255333"/>
    <w:rsid w:val="073143C0"/>
    <w:rsid w:val="07337979"/>
    <w:rsid w:val="073C5026"/>
    <w:rsid w:val="0757150E"/>
    <w:rsid w:val="076B7D2E"/>
    <w:rsid w:val="076E24F0"/>
    <w:rsid w:val="07903721"/>
    <w:rsid w:val="07A961C9"/>
    <w:rsid w:val="07D43C7D"/>
    <w:rsid w:val="08156CFA"/>
    <w:rsid w:val="08395965"/>
    <w:rsid w:val="0842729F"/>
    <w:rsid w:val="08504364"/>
    <w:rsid w:val="08525B3C"/>
    <w:rsid w:val="086674ED"/>
    <w:rsid w:val="087210BD"/>
    <w:rsid w:val="0873620F"/>
    <w:rsid w:val="08A27519"/>
    <w:rsid w:val="08C074FB"/>
    <w:rsid w:val="08C53B33"/>
    <w:rsid w:val="09033BFD"/>
    <w:rsid w:val="09487B96"/>
    <w:rsid w:val="095F62D3"/>
    <w:rsid w:val="096E578C"/>
    <w:rsid w:val="098406C4"/>
    <w:rsid w:val="09883CAD"/>
    <w:rsid w:val="09883D85"/>
    <w:rsid w:val="09915876"/>
    <w:rsid w:val="09A652C8"/>
    <w:rsid w:val="09A877C6"/>
    <w:rsid w:val="09B47669"/>
    <w:rsid w:val="09B61824"/>
    <w:rsid w:val="09D8320B"/>
    <w:rsid w:val="09E93494"/>
    <w:rsid w:val="09EF643F"/>
    <w:rsid w:val="0A103EDE"/>
    <w:rsid w:val="0A1E134C"/>
    <w:rsid w:val="0A3E1C2D"/>
    <w:rsid w:val="0A5749D6"/>
    <w:rsid w:val="0A7636E7"/>
    <w:rsid w:val="0AAA52B1"/>
    <w:rsid w:val="0AB25517"/>
    <w:rsid w:val="0AC244BB"/>
    <w:rsid w:val="0AC925D9"/>
    <w:rsid w:val="0AED7D74"/>
    <w:rsid w:val="0B4813AF"/>
    <w:rsid w:val="0B780002"/>
    <w:rsid w:val="0BB92D66"/>
    <w:rsid w:val="0BCB6FB1"/>
    <w:rsid w:val="0BF2578C"/>
    <w:rsid w:val="0C3C1B4E"/>
    <w:rsid w:val="0C417ED9"/>
    <w:rsid w:val="0C527449"/>
    <w:rsid w:val="0C627BC8"/>
    <w:rsid w:val="0C9B6D05"/>
    <w:rsid w:val="0CA54A7D"/>
    <w:rsid w:val="0CAA19F1"/>
    <w:rsid w:val="0CAC0CCA"/>
    <w:rsid w:val="0CAD5BD8"/>
    <w:rsid w:val="0CAE46BA"/>
    <w:rsid w:val="0CB32718"/>
    <w:rsid w:val="0D06732E"/>
    <w:rsid w:val="0D076C52"/>
    <w:rsid w:val="0D1441F7"/>
    <w:rsid w:val="0D2D2709"/>
    <w:rsid w:val="0D3376E5"/>
    <w:rsid w:val="0D49211E"/>
    <w:rsid w:val="0D681626"/>
    <w:rsid w:val="0DC03D6F"/>
    <w:rsid w:val="0DD8790E"/>
    <w:rsid w:val="0DFA4388"/>
    <w:rsid w:val="0DFB4338"/>
    <w:rsid w:val="0E16752F"/>
    <w:rsid w:val="0E245E3C"/>
    <w:rsid w:val="0E6E575C"/>
    <w:rsid w:val="0E7303A7"/>
    <w:rsid w:val="0E7B4C0E"/>
    <w:rsid w:val="0E7C2F27"/>
    <w:rsid w:val="0EAE4486"/>
    <w:rsid w:val="0ECD39B3"/>
    <w:rsid w:val="0ED93E72"/>
    <w:rsid w:val="0EDA630C"/>
    <w:rsid w:val="0EF61A70"/>
    <w:rsid w:val="0EFC5B78"/>
    <w:rsid w:val="0EFE60B5"/>
    <w:rsid w:val="0EFF5CA5"/>
    <w:rsid w:val="0F574D96"/>
    <w:rsid w:val="0F5D3EAE"/>
    <w:rsid w:val="0F706B18"/>
    <w:rsid w:val="0F781704"/>
    <w:rsid w:val="0F7F39BD"/>
    <w:rsid w:val="0F9F45B0"/>
    <w:rsid w:val="0FA87055"/>
    <w:rsid w:val="0FBE2BA4"/>
    <w:rsid w:val="0FC727D6"/>
    <w:rsid w:val="0FC809B5"/>
    <w:rsid w:val="0FCD13C8"/>
    <w:rsid w:val="0FDE5EC0"/>
    <w:rsid w:val="0FE311AE"/>
    <w:rsid w:val="0FE52156"/>
    <w:rsid w:val="0FEC5013"/>
    <w:rsid w:val="0FF51673"/>
    <w:rsid w:val="0FF76748"/>
    <w:rsid w:val="1000108E"/>
    <w:rsid w:val="102A59ED"/>
    <w:rsid w:val="10471201"/>
    <w:rsid w:val="104958E5"/>
    <w:rsid w:val="10856D36"/>
    <w:rsid w:val="109F75D6"/>
    <w:rsid w:val="10A87459"/>
    <w:rsid w:val="10BF1BF9"/>
    <w:rsid w:val="10C17242"/>
    <w:rsid w:val="10D71D6E"/>
    <w:rsid w:val="11010F46"/>
    <w:rsid w:val="110A4B74"/>
    <w:rsid w:val="112407E0"/>
    <w:rsid w:val="113B778B"/>
    <w:rsid w:val="11970AF3"/>
    <w:rsid w:val="11B12B17"/>
    <w:rsid w:val="121E6D22"/>
    <w:rsid w:val="12307D65"/>
    <w:rsid w:val="1236670E"/>
    <w:rsid w:val="12422D7A"/>
    <w:rsid w:val="1257406F"/>
    <w:rsid w:val="12632F36"/>
    <w:rsid w:val="127330AF"/>
    <w:rsid w:val="12851F52"/>
    <w:rsid w:val="12AC0C33"/>
    <w:rsid w:val="12FE02DF"/>
    <w:rsid w:val="1320705C"/>
    <w:rsid w:val="13555ED7"/>
    <w:rsid w:val="1357F9D7"/>
    <w:rsid w:val="138A73B0"/>
    <w:rsid w:val="13916EBF"/>
    <w:rsid w:val="13996C0C"/>
    <w:rsid w:val="139B52CF"/>
    <w:rsid w:val="13A53313"/>
    <w:rsid w:val="13A56CB1"/>
    <w:rsid w:val="13C41FD2"/>
    <w:rsid w:val="13EC3FE8"/>
    <w:rsid w:val="13EF22D8"/>
    <w:rsid w:val="1426003C"/>
    <w:rsid w:val="144E02BD"/>
    <w:rsid w:val="145233A6"/>
    <w:rsid w:val="14695B3E"/>
    <w:rsid w:val="14DC311C"/>
    <w:rsid w:val="14F57512"/>
    <w:rsid w:val="14FF65B5"/>
    <w:rsid w:val="153D2539"/>
    <w:rsid w:val="154D2147"/>
    <w:rsid w:val="15682450"/>
    <w:rsid w:val="1570022C"/>
    <w:rsid w:val="1582655F"/>
    <w:rsid w:val="15A5342A"/>
    <w:rsid w:val="15E77162"/>
    <w:rsid w:val="15E96918"/>
    <w:rsid w:val="160F4323"/>
    <w:rsid w:val="16231DBE"/>
    <w:rsid w:val="16245B6A"/>
    <w:rsid w:val="165426E3"/>
    <w:rsid w:val="1677039E"/>
    <w:rsid w:val="167B3FC0"/>
    <w:rsid w:val="168D5E17"/>
    <w:rsid w:val="16984E9E"/>
    <w:rsid w:val="16DE4FB0"/>
    <w:rsid w:val="16FB36BC"/>
    <w:rsid w:val="170B2471"/>
    <w:rsid w:val="170E4D05"/>
    <w:rsid w:val="17436BE0"/>
    <w:rsid w:val="17734D25"/>
    <w:rsid w:val="177F357F"/>
    <w:rsid w:val="17A40ED9"/>
    <w:rsid w:val="17AF5B9E"/>
    <w:rsid w:val="17D42896"/>
    <w:rsid w:val="17D61F27"/>
    <w:rsid w:val="17DB36A5"/>
    <w:rsid w:val="17F32F52"/>
    <w:rsid w:val="181E43F9"/>
    <w:rsid w:val="182F3042"/>
    <w:rsid w:val="185652A7"/>
    <w:rsid w:val="186615DB"/>
    <w:rsid w:val="18757736"/>
    <w:rsid w:val="18826713"/>
    <w:rsid w:val="189B3480"/>
    <w:rsid w:val="18AA1E0B"/>
    <w:rsid w:val="18DE01DF"/>
    <w:rsid w:val="18FC2212"/>
    <w:rsid w:val="18FD6187"/>
    <w:rsid w:val="19041B2E"/>
    <w:rsid w:val="192B2442"/>
    <w:rsid w:val="194559BB"/>
    <w:rsid w:val="194C0C61"/>
    <w:rsid w:val="195D47A3"/>
    <w:rsid w:val="1971619C"/>
    <w:rsid w:val="197E5297"/>
    <w:rsid w:val="19AB391D"/>
    <w:rsid w:val="19C54A70"/>
    <w:rsid w:val="19DA4826"/>
    <w:rsid w:val="19EC68A6"/>
    <w:rsid w:val="19FB54EB"/>
    <w:rsid w:val="1A021129"/>
    <w:rsid w:val="1A0452F5"/>
    <w:rsid w:val="1A334AD9"/>
    <w:rsid w:val="1A597618"/>
    <w:rsid w:val="1A60131F"/>
    <w:rsid w:val="1AA046FE"/>
    <w:rsid w:val="1AA31A30"/>
    <w:rsid w:val="1AF91582"/>
    <w:rsid w:val="1B074BB5"/>
    <w:rsid w:val="1B310938"/>
    <w:rsid w:val="1B4F1407"/>
    <w:rsid w:val="1B4F6923"/>
    <w:rsid w:val="1B6F3372"/>
    <w:rsid w:val="1B754941"/>
    <w:rsid w:val="1B790EA8"/>
    <w:rsid w:val="1B7B0E65"/>
    <w:rsid w:val="1B812403"/>
    <w:rsid w:val="1BA50C3B"/>
    <w:rsid w:val="1BB7106A"/>
    <w:rsid w:val="1BCD6D20"/>
    <w:rsid w:val="1BDB6CBF"/>
    <w:rsid w:val="1BFB2FB1"/>
    <w:rsid w:val="1C1F7DF5"/>
    <w:rsid w:val="1C4602DD"/>
    <w:rsid w:val="1C50770A"/>
    <w:rsid w:val="1C521D7C"/>
    <w:rsid w:val="1C553981"/>
    <w:rsid w:val="1C6520F2"/>
    <w:rsid w:val="1C681814"/>
    <w:rsid w:val="1C6C72B9"/>
    <w:rsid w:val="1C6F4C56"/>
    <w:rsid w:val="1C966EA8"/>
    <w:rsid w:val="1CA16512"/>
    <w:rsid w:val="1CE44B8F"/>
    <w:rsid w:val="1CEF6A50"/>
    <w:rsid w:val="1D0F44C0"/>
    <w:rsid w:val="1D175ECA"/>
    <w:rsid w:val="1D1D0BF4"/>
    <w:rsid w:val="1D487070"/>
    <w:rsid w:val="1D6A1404"/>
    <w:rsid w:val="1D6E3FB7"/>
    <w:rsid w:val="1D80171C"/>
    <w:rsid w:val="1D9057BA"/>
    <w:rsid w:val="1DAD6E2F"/>
    <w:rsid w:val="1DCC05BB"/>
    <w:rsid w:val="1DF37A72"/>
    <w:rsid w:val="1DF95C62"/>
    <w:rsid w:val="1DFF14C8"/>
    <w:rsid w:val="1E0B5FD5"/>
    <w:rsid w:val="1E0D788B"/>
    <w:rsid w:val="1E284B5A"/>
    <w:rsid w:val="1E5636D8"/>
    <w:rsid w:val="1E737C58"/>
    <w:rsid w:val="1E9006B7"/>
    <w:rsid w:val="1E9A0FB1"/>
    <w:rsid w:val="1EA43EC0"/>
    <w:rsid w:val="1ECD4DA3"/>
    <w:rsid w:val="1ECF173D"/>
    <w:rsid w:val="1EDC37B3"/>
    <w:rsid w:val="1F2E68AA"/>
    <w:rsid w:val="1F4010DB"/>
    <w:rsid w:val="1F5A56F6"/>
    <w:rsid w:val="1F5B1A02"/>
    <w:rsid w:val="1F853AAF"/>
    <w:rsid w:val="1FE85B9C"/>
    <w:rsid w:val="1FE93901"/>
    <w:rsid w:val="1FF4593C"/>
    <w:rsid w:val="20027D20"/>
    <w:rsid w:val="200415FB"/>
    <w:rsid w:val="20285668"/>
    <w:rsid w:val="20295FEE"/>
    <w:rsid w:val="202F1388"/>
    <w:rsid w:val="206C21AF"/>
    <w:rsid w:val="207D3FD1"/>
    <w:rsid w:val="20845ABE"/>
    <w:rsid w:val="20A36A75"/>
    <w:rsid w:val="20BE54A4"/>
    <w:rsid w:val="20C00EA2"/>
    <w:rsid w:val="20DE5687"/>
    <w:rsid w:val="20E50D3B"/>
    <w:rsid w:val="20EF03FD"/>
    <w:rsid w:val="212519BC"/>
    <w:rsid w:val="21833B35"/>
    <w:rsid w:val="219906A4"/>
    <w:rsid w:val="21A73108"/>
    <w:rsid w:val="21F45B92"/>
    <w:rsid w:val="22116019"/>
    <w:rsid w:val="222A616C"/>
    <w:rsid w:val="222F2DCF"/>
    <w:rsid w:val="22322857"/>
    <w:rsid w:val="223A3700"/>
    <w:rsid w:val="22677C28"/>
    <w:rsid w:val="22766526"/>
    <w:rsid w:val="227B1F27"/>
    <w:rsid w:val="22881CEC"/>
    <w:rsid w:val="22961DD6"/>
    <w:rsid w:val="22E47952"/>
    <w:rsid w:val="22EA12B4"/>
    <w:rsid w:val="22F661B3"/>
    <w:rsid w:val="23012C72"/>
    <w:rsid w:val="23956DF7"/>
    <w:rsid w:val="23BD135E"/>
    <w:rsid w:val="23CF1D89"/>
    <w:rsid w:val="241040F6"/>
    <w:rsid w:val="241C7A17"/>
    <w:rsid w:val="2437791F"/>
    <w:rsid w:val="24A835B0"/>
    <w:rsid w:val="24F35305"/>
    <w:rsid w:val="24F461B4"/>
    <w:rsid w:val="24FF2BB0"/>
    <w:rsid w:val="25024CA5"/>
    <w:rsid w:val="2510069B"/>
    <w:rsid w:val="2524772D"/>
    <w:rsid w:val="252D3B73"/>
    <w:rsid w:val="253E2D73"/>
    <w:rsid w:val="25503C85"/>
    <w:rsid w:val="255B626D"/>
    <w:rsid w:val="25790F68"/>
    <w:rsid w:val="25C439AC"/>
    <w:rsid w:val="25CE6FFA"/>
    <w:rsid w:val="25EE2B75"/>
    <w:rsid w:val="25FC2911"/>
    <w:rsid w:val="2620185B"/>
    <w:rsid w:val="262259FB"/>
    <w:rsid w:val="26260B62"/>
    <w:rsid w:val="26454E35"/>
    <w:rsid w:val="264849CD"/>
    <w:rsid w:val="26563662"/>
    <w:rsid w:val="26861FF4"/>
    <w:rsid w:val="26A875EE"/>
    <w:rsid w:val="26AE78B3"/>
    <w:rsid w:val="26E63401"/>
    <w:rsid w:val="26E85FD1"/>
    <w:rsid w:val="2704125A"/>
    <w:rsid w:val="273826BC"/>
    <w:rsid w:val="27441F8A"/>
    <w:rsid w:val="27607858"/>
    <w:rsid w:val="27820480"/>
    <w:rsid w:val="27841B27"/>
    <w:rsid w:val="27854356"/>
    <w:rsid w:val="2790513A"/>
    <w:rsid w:val="279D3452"/>
    <w:rsid w:val="27A27D06"/>
    <w:rsid w:val="27B02F9A"/>
    <w:rsid w:val="27B3228D"/>
    <w:rsid w:val="27C62C7D"/>
    <w:rsid w:val="27C774A6"/>
    <w:rsid w:val="27C84C27"/>
    <w:rsid w:val="27C948DE"/>
    <w:rsid w:val="27CD396B"/>
    <w:rsid w:val="27D136EC"/>
    <w:rsid w:val="27EA5293"/>
    <w:rsid w:val="284A03D5"/>
    <w:rsid w:val="287807E0"/>
    <w:rsid w:val="28A92C7A"/>
    <w:rsid w:val="28BA6ED8"/>
    <w:rsid w:val="28E567A8"/>
    <w:rsid w:val="28ED32C8"/>
    <w:rsid w:val="28FA0951"/>
    <w:rsid w:val="29040AE8"/>
    <w:rsid w:val="291B4C55"/>
    <w:rsid w:val="293C3A3F"/>
    <w:rsid w:val="293F43F6"/>
    <w:rsid w:val="294B2506"/>
    <w:rsid w:val="296D4AB4"/>
    <w:rsid w:val="298544E8"/>
    <w:rsid w:val="29895EB3"/>
    <w:rsid w:val="2990616B"/>
    <w:rsid w:val="299742B3"/>
    <w:rsid w:val="29AD5D56"/>
    <w:rsid w:val="29F5039C"/>
    <w:rsid w:val="2A083C43"/>
    <w:rsid w:val="2A0C08FC"/>
    <w:rsid w:val="2A1F741E"/>
    <w:rsid w:val="2A451394"/>
    <w:rsid w:val="2A672DCF"/>
    <w:rsid w:val="2A7D5D02"/>
    <w:rsid w:val="2A946D06"/>
    <w:rsid w:val="2A9C434A"/>
    <w:rsid w:val="2A9D0F29"/>
    <w:rsid w:val="2ABA4D1E"/>
    <w:rsid w:val="2ACE266B"/>
    <w:rsid w:val="2AD24C39"/>
    <w:rsid w:val="2AD6027A"/>
    <w:rsid w:val="2B164335"/>
    <w:rsid w:val="2B233F0F"/>
    <w:rsid w:val="2B3558C3"/>
    <w:rsid w:val="2B3B6D7D"/>
    <w:rsid w:val="2B7D2C27"/>
    <w:rsid w:val="2B8F3839"/>
    <w:rsid w:val="2B9E2874"/>
    <w:rsid w:val="2BA33328"/>
    <w:rsid w:val="2BA5709C"/>
    <w:rsid w:val="2BB310E9"/>
    <w:rsid w:val="2BC635DB"/>
    <w:rsid w:val="2BD02499"/>
    <w:rsid w:val="2BDD2C20"/>
    <w:rsid w:val="2BE874C8"/>
    <w:rsid w:val="2C02324B"/>
    <w:rsid w:val="2C21503C"/>
    <w:rsid w:val="2C356C87"/>
    <w:rsid w:val="2C4A3FBF"/>
    <w:rsid w:val="2C5A27B2"/>
    <w:rsid w:val="2C7E25C4"/>
    <w:rsid w:val="2CA83B4E"/>
    <w:rsid w:val="2CDE6899"/>
    <w:rsid w:val="2CDF6C17"/>
    <w:rsid w:val="2D035B6D"/>
    <w:rsid w:val="2D2B7E7C"/>
    <w:rsid w:val="2D3918CC"/>
    <w:rsid w:val="2D5C3F06"/>
    <w:rsid w:val="2D745A5A"/>
    <w:rsid w:val="2D990A1E"/>
    <w:rsid w:val="2D9E387A"/>
    <w:rsid w:val="2DF429C8"/>
    <w:rsid w:val="2E0837C9"/>
    <w:rsid w:val="2E0F4D10"/>
    <w:rsid w:val="2E101CCA"/>
    <w:rsid w:val="2E145506"/>
    <w:rsid w:val="2E186053"/>
    <w:rsid w:val="2E1F48E0"/>
    <w:rsid w:val="2E304EEA"/>
    <w:rsid w:val="2E321F81"/>
    <w:rsid w:val="2E32421B"/>
    <w:rsid w:val="2E4E008F"/>
    <w:rsid w:val="2E593A8E"/>
    <w:rsid w:val="2E6E5932"/>
    <w:rsid w:val="2E784322"/>
    <w:rsid w:val="2E876085"/>
    <w:rsid w:val="2E8C6364"/>
    <w:rsid w:val="2EAC2C49"/>
    <w:rsid w:val="2EAE29FD"/>
    <w:rsid w:val="2EDC4218"/>
    <w:rsid w:val="2EDE4FFA"/>
    <w:rsid w:val="2EEC7039"/>
    <w:rsid w:val="2EF51474"/>
    <w:rsid w:val="2EFC1838"/>
    <w:rsid w:val="2F082EAF"/>
    <w:rsid w:val="2F3D7BBD"/>
    <w:rsid w:val="2F5C6B68"/>
    <w:rsid w:val="2F5C7A04"/>
    <w:rsid w:val="2F6A44C6"/>
    <w:rsid w:val="2F7F28BC"/>
    <w:rsid w:val="2F87130B"/>
    <w:rsid w:val="2F9621B4"/>
    <w:rsid w:val="2FAC5A17"/>
    <w:rsid w:val="300A59D9"/>
    <w:rsid w:val="302653BF"/>
    <w:rsid w:val="302B5FB2"/>
    <w:rsid w:val="303F1452"/>
    <w:rsid w:val="3041632F"/>
    <w:rsid w:val="304F4548"/>
    <w:rsid w:val="305B33D3"/>
    <w:rsid w:val="305C2758"/>
    <w:rsid w:val="30864E7D"/>
    <w:rsid w:val="308B54A7"/>
    <w:rsid w:val="308C35FC"/>
    <w:rsid w:val="309E563F"/>
    <w:rsid w:val="30B458D4"/>
    <w:rsid w:val="30B572C6"/>
    <w:rsid w:val="30BF583E"/>
    <w:rsid w:val="30D96DFF"/>
    <w:rsid w:val="30DC4D0B"/>
    <w:rsid w:val="30F41D6B"/>
    <w:rsid w:val="31147DA4"/>
    <w:rsid w:val="311A1E12"/>
    <w:rsid w:val="312A04B7"/>
    <w:rsid w:val="313909F0"/>
    <w:rsid w:val="3145301B"/>
    <w:rsid w:val="314B7C7E"/>
    <w:rsid w:val="315747DF"/>
    <w:rsid w:val="31775A43"/>
    <w:rsid w:val="317B3C1D"/>
    <w:rsid w:val="31810BA6"/>
    <w:rsid w:val="31872545"/>
    <w:rsid w:val="31890F08"/>
    <w:rsid w:val="31C56EA9"/>
    <w:rsid w:val="31D2067C"/>
    <w:rsid w:val="31FD2CC3"/>
    <w:rsid w:val="32021B4D"/>
    <w:rsid w:val="321E5B05"/>
    <w:rsid w:val="323C5942"/>
    <w:rsid w:val="32504B3E"/>
    <w:rsid w:val="32565FF4"/>
    <w:rsid w:val="32621C03"/>
    <w:rsid w:val="32A351FA"/>
    <w:rsid w:val="32CC2FEB"/>
    <w:rsid w:val="32D93697"/>
    <w:rsid w:val="32F60E03"/>
    <w:rsid w:val="32FA2878"/>
    <w:rsid w:val="32FF0F34"/>
    <w:rsid w:val="33084F4B"/>
    <w:rsid w:val="33092C98"/>
    <w:rsid w:val="3365455A"/>
    <w:rsid w:val="336C2B55"/>
    <w:rsid w:val="337C28EA"/>
    <w:rsid w:val="338A5ABC"/>
    <w:rsid w:val="33AB7646"/>
    <w:rsid w:val="33B9010A"/>
    <w:rsid w:val="33D77E3C"/>
    <w:rsid w:val="33E56C4A"/>
    <w:rsid w:val="33ED3C03"/>
    <w:rsid w:val="33F151B9"/>
    <w:rsid w:val="33F621B9"/>
    <w:rsid w:val="33F64DEE"/>
    <w:rsid w:val="340B44DE"/>
    <w:rsid w:val="341B35CD"/>
    <w:rsid w:val="342623BA"/>
    <w:rsid w:val="34301B7D"/>
    <w:rsid w:val="34404DA4"/>
    <w:rsid w:val="344D7DB5"/>
    <w:rsid w:val="348F121D"/>
    <w:rsid w:val="34DF1EE9"/>
    <w:rsid w:val="34E52CE1"/>
    <w:rsid w:val="34F22D0C"/>
    <w:rsid w:val="350F1C86"/>
    <w:rsid w:val="353D56FB"/>
    <w:rsid w:val="354723E7"/>
    <w:rsid w:val="356D26A2"/>
    <w:rsid w:val="35727861"/>
    <w:rsid w:val="35776894"/>
    <w:rsid w:val="358D0358"/>
    <w:rsid w:val="35A37770"/>
    <w:rsid w:val="361F4314"/>
    <w:rsid w:val="36220470"/>
    <w:rsid w:val="367476D5"/>
    <w:rsid w:val="367F49E4"/>
    <w:rsid w:val="36806720"/>
    <w:rsid w:val="369335A1"/>
    <w:rsid w:val="36A33BD6"/>
    <w:rsid w:val="36E95875"/>
    <w:rsid w:val="37215EE6"/>
    <w:rsid w:val="375200C2"/>
    <w:rsid w:val="37530853"/>
    <w:rsid w:val="37666DA7"/>
    <w:rsid w:val="37764B1F"/>
    <w:rsid w:val="377E428F"/>
    <w:rsid w:val="3792237F"/>
    <w:rsid w:val="37D1476B"/>
    <w:rsid w:val="37DC6019"/>
    <w:rsid w:val="37E53394"/>
    <w:rsid w:val="37EE7219"/>
    <w:rsid w:val="380906B8"/>
    <w:rsid w:val="380A4419"/>
    <w:rsid w:val="380E6EEB"/>
    <w:rsid w:val="381375D0"/>
    <w:rsid w:val="381521EF"/>
    <w:rsid w:val="384479E9"/>
    <w:rsid w:val="38486A7C"/>
    <w:rsid w:val="38570E29"/>
    <w:rsid w:val="38833975"/>
    <w:rsid w:val="38A343D2"/>
    <w:rsid w:val="38AB6179"/>
    <w:rsid w:val="38AC2670"/>
    <w:rsid w:val="38BF2BB7"/>
    <w:rsid w:val="38C35C0E"/>
    <w:rsid w:val="38CC409F"/>
    <w:rsid w:val="38DF18F5"/>
    <w:rsid w:val="38E03118"/>
    <w:rsid w:val="391772A7"/>
    <w:rsid w:val="391928C8"/>
    <w:rsid w:val="391B7F35"/>
    <w:rsid w:val="391D7CA1"/>
    <w:rsid w:val="39255165"/>
    <w:rsid w:val="393523F1"/>
    <w:rsid w:val="39A35BF6"/>
    <w:rsid w:val="39C767EC"/>
    <w:rsid w:val="39D928F6"/>
    <w:rsid w:val="39E26C0C"/>
    <w:rsid w:val="39ED369B"/>
    <w:rsid w:val="39F66462"/>
    <w:rsid w:val="3A092E38"/>
    <w:rsid w:val="3A197770"/>
    <w:rsid w:val="3A1A16CA"/>
    <w:rsid w:val="3A1C7500"/>
    <w:rsid w:val="3A2304F8"/>
    <w:rsid w:val="3A356CC1"/>
    <w:rsid w:val="3A4A30E0"/>
    <w:rsid w:val="3A536CA5"/>
    <w:rsid w:val="3A5D4FE4"/>
    <w:rsid w:val="3A64072E"/>
    <w:rsid w:val="3A8E4794"/>
    <w:rsid w:val="3A944779"/>
    <w:rsid w:val="3AA86B66"/>
    <w:rsid w:val="3AD94FC4"/>
    <w:rsid w:val="3AE408D3"/>
    <w:rsid w:val="3AF57C44"/>
    <w:rsid w:val="3B043AF6"/>
    <w:rsid w:val="3B2117CB"/>
    <w:rsid w:val="3B316D6A"/>
    <w:rsid w:val="3B41421A"/>
    <w:rsid w:val="3B53493C"/>
    <w:rsid w:val="3B631489"/>
    <w:rsid w:val="3B743459"/>
    <w:rsid w:val="3B7542E0"/>
    <w:rsid w:val="3B7D0BA9"/>
    <w:rsid w:val="3B943F28"/>
    <w:rsid w:val="3B9F0643"/>
    <w:rsid w:val="3BC20928"/>
    <w:rsid w:val="3BE3669D"/>
    <w:rsid w:val="3BF05753"/>
    <w:rsid w:val="3BF249E7"/>
    <w:rsid w:val="3BF57D73"/>
    <w:rsid w:val="3BF70DCA"/>
    <w:rsid w:val="3C2506E4"/>
    <w:rsid w:val="3C3415B5"/>
    <w:rsid w:val="3C3C2824"/>
    <w:rsid w:val="3C705164"/>
    <w:rsid w:val="3C923B4D"/>
    <w:rsid w:val="3CD913B2"/>
    <w:rsid w:val="3CDD2EF9"/>
    <w:rsid w:val="3D170CF0"/>
    <w:rsid w:val="3D5648A2"/>
    <w:rsid w:val="3D630BFC"/>
    <w:rsid w:val="3D9D3E0F"/>
    <w:rsid w:val="3DA514FF"/>
    <w:rsid w:val="3DA824F7"/>
    <w:rsid w:val="3DD849C2"/>
    <w:rsid w:val="3E017FF2"/>
    <w:rsid w:val="3E213BC6"/>
    <w:rsid w:val="3EA6296F"/>
    <w:rsid w:val="3EDA1D27"/>
    <w:rsid w:val="3EDA6235"/>
    <w:rsid w:val="3EE13172"/>
    <w:rsid w:val="3EE617F0"/>
    <w:rsid w:val="3EE74EC6"/>
    <w:rsid w:val="3F041702"/>
    <w:rsid w:val="3F0C4359"/>
    <w:rsid w:val="3F0F1A5B"/>
    <w:rsid w:val="3F193B59"/>
    <w:rsid w:val="3F2F6E4B"/>
    <w:rsid w:val="3F3E6ACF"/>
    <w:rsid w:val="3F650F56"/>
    <w:rsid w:val="3F7C7E98"/>
    <w:rsid w:val="3FAC44D4"/>
    <w:rsid w:val="3FB21A18"/>
    <w:rsid w:val="3FC64C48"/>
    <w:rsid w:val="3FD61EF3"/>
    <w:rsid w:val="3FEE224F"/>
    <w:rsid w:val="40005024"/>
    <w:rsid w:val="401136DF"/>
    <w:rsid w:val="40221CAC"/>
    <w:rsid w:val="402D4683"/>
    <w:rsid w:val="40505395"/>
    <w:rsid w:val="405D6A86"/>
    <w:rsid w:val="40625097"/>
    <w:rsid w:val="40715618"/>
    <w:rsid w:val="40C071A4"/>
    <w:rsid w:val="40C47137"/>
    <w:rsid w:val="40C70D6B"/>
    <w:rsid w:val="40D42D2D"/>
    <w:rsid w:val="40DC568D"/>
    <w:rsid w:val="40E074BC"/>
    <w:rsid w:val="40ED2C25"/>
    <w:rsid w:val="40EF23FE"/>
    <w:rsid w:val="40F0388B"/>
    <w:rsid w:val="40F87BF2"/>
    <w:rsid w:val="40FF1185"/>
    <w:rsid w:val="410347CF"/>
    <w:rsid w:val="413154E1"/>
    <w:rsid w:val="413E23C3"/>
    <w:rsid w:val="4149611D"/>
    <w:rsid w:val="415824DE"/>
    <w:rsid w:val="4165142F"/>
    <w:rsid w:val="419245F8"/>
    <w:rsid w:val="419A7392"/>
    <w:rsid w:val="41B238F4"/>
    <w:rsid w:val="41BC3CFB"/>
    <w:rsid w:val="41BD1D53"/>
    <w:rsid w:val="41C37A0F"/>
    <w:rsid w:val="41DC57C1"/>
    <w:rsid w:val="42016151"/>
    <w:rsid w:val="42307ED7"/>
    <w:rsid w:val="423109D0"/>
    <w:rsid w:val="42484FF7"/>
    <w:rsid w:val="42E97748"/>
    <w:rsid w:val="42FA37FB"/>
    <w:rsid w:val="430C2FB8"/>
    <w:rsid w:val="43166770"/>
    <w:rsid w:val="432D6F6D"/>
    <w:rsid w:val="433575D3"/>
    <w:rsid w:val="433C1B5A"/>
    <w:rsid w:val="434848D5"/>
    <w:rsid w:val="434E7DA8"/>
    <w:rsid w:val="43522004"/>
    <w:rsid w:val="435C7282"/>
    <w:rsid w:val="436E15CF"/>
    <w:rsid w:val="43862A0B"/>
    <w:rsid w:val="43900BF1"/>
    <w:rsid w:val="439067CC"/>
    <w:rsid w:val="43AE16D1"/>
    <w:rsid w:val="43CB0772"/>
    <w:rsid w:val="43DB53DB"/>
    <w:rsid w:val="43E91D63"/>
    <w:rsid w:val="44154AB3"/>
    <w:rsid w:val="444D39DF"/>
    <w:rsid w:val="44535A32"/>
    <w:rsid w:val="44BE5D60"/>
    <w:rsid w:val="44C86047"/>
    <w:rsid w:val="44CC3EBB"/>
    <w:rsid w:val="44DE6FED"/>
    <w:rsid w:val="450F245C"/>
    <w:rsid w:val="45106B14"/>
    <w:rsid w:val="45326079"/>
    <w:rsid w:val="453C1316"/>
    <w:rsid w:val="453D4122"/>
    <w:rsid w:val="456A3D46"/>
    <w:rsid w:val="456C7BB5"/>
    <w:rsid w:val="45803AFA"/>
    <w:rsid w:val="45954BE9"/>
    <w:rsid w:val="45B053EA"/>
    <w:rsid w:val="463D6316"/>
    <w:rsid w:val="464915B5"/>
    <w:rsid w:val="465E266D"/>
    <w:rsid w:val="465F486C"/>
    <w:rsid w:val="467C28D1"/>
    <w:rsid w:val="468968B5"/>
    <w:rsid w:val="469B106E"/>
    <w:rsid w:val="46C45FD2"/>
    <w:rsid w:val="46DA1712"/>
    <w:rsid w:val="46F00A69"/>
    <w:rsid w:val="46FA370F"/>
    <w:rsid w:val="47170AC5"/>
    <w:rsid w:val="473C3A1D"/>
    <w:rsid w:val="474830EE"/>
    <w:rsid w:val="47623D2E"/>
    <w:rsid w:val="476607A7"/>
    <w:rsid w:val="47772289"/>
    <w:rsid w:val="47B4304E"/>
    <w:rsid w:val="47C04215"/>
    <w:rsid w:val="481F3AAC"/>
    <w:rsid w:val="4829037C"/>
    <w:rsid w:val="48345082"/>
    <w:rsid w:val="48564596"/>
    <w:rsid w:val="485911A1"/>
    <w:rsid w:val="486A359F"/>
    <w:rsid w:val="487A7070"/>
    <w:rsid w:val="487C1EDC"/>
    <w:rsid w:val="488F40DD"/>
    <w:rsid w:val="489441DB"/>
    <w:rsid w:val="489A4B5F"/>
    <w:rsid w:val="48B80372"/>
    <w:rsid w:val="48DA52EF"/>
    <w:rsid w:val="49190EDB"/>
    <w:rsid w:val="491B710F"/>
    <w:rsid w:val="4927789A"/>
    <w:rsid w:val="493F0BF5"/>
    <w:rsid w:val="494C0E44"/>
    <w:rsid w:val="494D7175"/>
    <w:rsid w:val="4955004C"/>
    <w:rsid w:val="49595C2B"/>
    <w:rsid w:val="495E2DD2"/>
    <w:rsid w:val="49676AC9"/>
    <w:rsid w:val="496E0830"/>
    <w:rsid w:val="497A6A37"/>
    <w:rsid w:val="49C85C0B"/>
    <w:rsid w:val="49D70F19"/>
    <w:rsid w:val="49D86B92"/>
    <w:rsid w:val="4A0164BC"/>
    <w:rsid w:val="4A0371EF"/>
    <w:rsid w:val="4A0457BD"/>
    <w:rsid w:val="4A094D56"/>
    <w:rsid w:val="4A235909"/>
    <w:rsid w:val="4A245B2D"/>
    <w:rsid w:val="4A71425E"/>
    <w:rsid w:val="4A8E1F3B"/>
    <w:rsid w:val="4A986A3B"/>
    <w:rsid w:val="4A9B74A1"/>
    <w:rsid w:val="4AA36D19"/>
    <w:rsid w:val="4AB71728"/>
    <w:rsid w:val="4AC66338"/>
    <w:rsid w:val="4AD67CF0"/>
    <w:rsid w:val="4AE9772D"/>
    <w:rsid w:val="4AEE622F"/>
    <w:rsid w:val="4AF72CC9"/>
    <w:rsid w:val="4B000631"/>
    <w:rsid w:val="4B117C46"/>
    <w:rsid w:val="4B3B7483"/>
    <w:rsid w:val="4B4D2189"/>
    <w:rsid w:val="4B5B1B0E"/>
    <w:rsid w:val="4B83725E"/>
    <w:rsid w:val="4BA12551"/>
    <w:rsid w:val="4BCA0C3A"/>
    <w:rsid w:val="4C0E19FA"/>
    <w:rsid w:val="4C11514F"/>
    <w:rsid w:val="4C1A2366"/>
    <w:rsid w:val="4C245850"/>
    <w:rsid w:val="4C2F22ED"/>
    <w:rsid w:val="4C3204E8"/>
    <w:rsid w:val="4C4959B8"/>
    <w:rsid w:val="4C4C296A"/>
    <w:rsid w:val="4C7B0CDA"/>
    <w:rsid w:val="4C8A3FF0"/>
    <w:rsid w:val="4C8D385F"/>
    <w:rsid w:val="4C9533A8"/>
    <w:rsid w:val="4C9D53E1"/>
    <w:rsid w:val="4CBC18F1"/>
    <w:rsid w:val="4D0045DA"/>
    <w:rsid w:val="4D063C14"/>
    <w:rsid w:val="4D1545B9"/>
    <w:rsid w:val="4D3076AC"/>
    <w:rsid w:val="4D440970"/>
    <w:rsid w:val="4D5B64D7"/>
    <w:rsid w:val="4D7850AD"/>
    <w:rsid w:val="4D884F2E"/>
    <w:rsid w:val="4DC43E8B"/>
    <w:rsid w:val="4DCF1508"/>
    <w:rsid w:val="4DE91E48"/>
    <w:rsid w:val="4DFF20E9"/>
    <w:rsid w:val="4E1745FC"/>
    <w:rsid w:val="4E181B35"/>
    <w:rsid w:val="4E217C03"/>
    <w:rsid w:val="4E220279"/>
    <w:rsid w:val="4E2231BB"/>
    <w:rsid w:val="4E2C3904"/>
    <w:rsid w:val="4E4865B1"/>
    <w:rsid w:val="4E49192C"/>
    <w:rsid w:val="4E8E78CA"/>
    <w:rsid w:val="4ED17833"/>
    <w:rsid w:val="4EE0786E"/>
    <w:rsid w:val="4EF14A4F"/>
    <w:rsid w:val="4F22273E"/>
    <w:rsid w:val="4F353685"/>
    <w:rsid w:val="4F3B7D48"/>
    <w:rsid w:val="4F4F3F50"/>
    <w:rsid w:val="4F4F60DA"/>
    <w:rsid w:val="4F5167AE"/>
    <w:rsid w:val="4F553DFC"/>
    <w:rsid w:val="4F6E5036"/>
    <w:rsid w:val="4F6F657F"/>
    <w:rsid w:val="4F766FE1"/>
    <w:rsid w:val="4F8D0E16"/>
    <w:rsid w:val="4F9839C3"/>
    <w:rsid w:val="4F9B6C3B"/>
    <w:rsid w:val="4FB85250"/>
    <w:rsid w:val="4FDE548E"/>
    <w:rsid w:val="500C20DE"/>
    <w:rsid w:val="5012737E"/>
    <w:rsid w:val="501D24B7"/>
    <w:rsid w:val="50210F2C"/>
    <w:rsid w:val="503C1656"/>
    <w:rsid w:val="504B24B7"/>
    <w:rsid w:val="505405DE"/>
    <w:rsid w:val="50551478"/>
    <w:rsid w:val="50666CA4"/>
    <w:rsid w:val="506D32EC"/>
    <w:rsid w:val="50725E06"/>
    <w:rsid w:val="50814F45"/>
    <w:rsid w:val="509538A6"/>
    <w:rsid w:val="50B5543C"/>
    <w:rsid w:val="50E67FEC"/>
    <w:rsid w:val="50F26DF0"/>
    <w:rsid w:val="50FA51B0"/>
    <w:rsid w:val="50FA5D04"/>
    <w:rsid w:val="5104522B"/>
    <w:rsid w:val="514217A1"/>
    <w:rsid w:val="51423EC1"/>
    <w:rsid w:val="51433F09"/>
    <w:rsid w:val="51E0430A"/>
    <w:rsid w:val="51EC7F59"/>
    <w:rsid w:val="52082510"/>
    <w:rsid w:val="521F0CE5"/>
    <w:rsid w:val="52274940"/>
    <w:rsid w:val="523F0C02"/>
    <w:rsid w:val="52431986"/>
    <w:rsid w:val="524C0FEB"/>
    <w:rsid w:val="524C17E9"/>
    <w:rsid w:val="527008BE"/>
    <w:rsid w:val="52833B23"/>
    <w:rsid w:val="52885717"/>
    <w:rsid w:val="529954D9"/>
    <w:rsid w:val="52A95AEC"/>
    <w:rsid w:val="52EC4D72"/>
    <w:rsid w:val="52F311EC"/>
    <w:rsid w:val="530C039D"/>
    <w:rsid w:val="530D319D"/>
    <w:rsid w:val="53435F6A"/>
    <w:rsid w:val="535019D1"/>
    <w:rsid w:val="537F1DD7"/>
    <w:rsid w:val="53964FD7"/>
    <w:rsid w:val="53AA46DB"/>
    <w:rsid w:val="53B00CC3"/>
    <w:rsid w:val="53E140B8"/>
    <w:rsid w:val="54045CEB"/>
    <w:rsid w:val="541613C1"/>
    <w:rsid w:val="54247CE3"/>
    <w:rsid w:val="54274F76"/>
    <w:rsid w:val="546175A9"/>
    <w:rsid w:val="54650127"/>
    <w:rsid w:val="54BA3596"/>
    <w:rsid w:val="54CD120B"/>
    <w:rsid w:val="54CE5438"/>
    <w:rsid w:val="54E45FB4"/>
    <w:rsid w:val="54E71D4F"/>
    <w:rsid w:val="54FD3DD6"/>
    <w:rsid w:val="55081E62"/>
    <w:rsid w:val="55103D6B"/>
    <w:rsid w:val="551308FE"/>
    <w:rsid w:val="55584023"/>
    <w:rsid w:val="55737F67"/>
    <w:rsid w:val="55B421C2"/>
    <w:rsid w:val="55BC5670"/>
    <w:rsid w:val="55EA5674"/>
    <w:rsid w:val="55FB7273"/>
    <w:rsid w:val="561B6124"/>
    <w:rsid w:val="56257DC4"/>
    <w:rsid w:val="56370E2C"/>
    <w:rsid w:val="564A39C7"/>
    <w:rsid w:val="56562BC5"/>
    <w:rsid w:val="56610D9F"/>
    <w:rsid w:val="5662425D"/>
    <w:rsid w:val="567E15DA"/>
    <w:rsid w:val="569C2395"/>
    <w:rsid w:val="56AF5A21"/>
    <w:rsid w:val="56E8320A"/>
    <w:rsid w:val="5710403A"/>
    <w:rsid w:val="57172610"/>
    <w:rsid w:val="57266874"/>
    <w:rsid w:val="572C2B66"/>
    <w:rsid w:val="572D0293"/>
    <w:rsid w:val="57317B32"/>
    <w:rsid w:val="574931BD"/>
    <w:rsid w:val="574A5F76"/>
    <w:rsid w:val="57534CA5"/>
    <w:rsid w:val="57622F56"/>
    <w:rsid w:val="57995281"/>
    <w:rsid w:val="579F2ED7"/>
    <w:rsid w:val="57E07A89"/>
    <w:rsid w:val="580354DF"/>
    <w:rsid w:val="582248BE"/>
    <w:rsid w:val="582C6EDE"/>
    <w:rsid w:val="58542D83"/>
    <w:rsid w:val="58593281"/>
    <w:rsid w:val="58637F8C"/>
    <w:rsid w:val="58661294"/>
    <w:rsid w:val="58822FB8"/>
    <w:rsid w:val="58A15185"/>
    <w:rsid w:val="58FB64D8"/>
    <w:rsid w:val="591F11A0"/>
    <w:rsid w:val="59341993"/>
    <w:rsid w:val="59490D75"/>
    <w:rsid w:val="595F3945"/>
    <w:rsid w:val="59811881"/>
    <w:rsid w:val="5994764C"/>
    <w:rsid w:val="59C11657"/>
    <w:rsid w:val="59C5664F"/>
    <w:rsid w:val="59F1504F"/>
    <w:rsid w:val="5A092D12"/>
    <w:rsid w:val="5A1055F7"/>
    <w:rsid w:val="5A2F02B5"/>
    <w:rsid w:val="5A4238BE"/>
    <w:rsid w:val="5A4B289C"/>
    <w:rsid w:val="5A4C569F"/>
    <w:rsid w:val="5A7C39C0"/>
    <w:rsid w:val="5ADC6D60"/>
    <w:rsid w:val="5AFE6AD7"/>
    <w:rsid w:val="5B026BF2"/>
    <w:rsid w:val="5B210318"/>
    <w:rsid w:val="5B543AEB"/>
    <w:rsid w:val="5B6B4197"/>
    <w:rsid w:val="5B701AC8"/>
    <w:rsid w:val="5BA16D5B"/>
    <w:rsid w:val="5BE24641"/>
    <w:rsid w:val="5BEB256C"/>
    <w:rsid w:val="5BF154A0"/>
    <w:rsid w:val="5C2C7AA0"/>
    <w:rsid w:val="5C897C44"/>
    <w:rsid w:val="5C96344F"/>
    <w:rsid w:val="5CA645C0"/>
    <w:rsid w:val="5CDE0E0D"/>
    <w:rsid w:val="5CEE7534"/>
    <w:rsid w:val="5CF77F3B"/>
    <w:rsid w:val="5D0E477B"/>
    <w:rsid w:val="5D1D064B"/>
    <w:rsid w:val="5D415430"/>
    <w:rsid w:val="5D4A1E96"/>
    <w:rsid w:val="5D5118BD"/>
    <w:rsid w:val="5D5A4250"/>
    <w:rsid w:val="5D642204"/>
    <w:rsid w:val="5DB23BF4"/>
    <w:rsid w:val="5DB24B19"/>
    <w:rsid w:val="5DC97BB5"/>
    <w:rsid w:val="5DD00B6C"/>
    <w:rsid w:val="5DDF61C7"/>
    <w:rsid w:val="5DF96B78"/>
    <w:rsid w:val="5E3C31A5"/>
    <w:rsid w:val="5EA10AF7"/>
    <w:rsid w:val="5EA10BA7"/>
    <w:rsid w:val="5EA179EA"/>
    <w:rsid w:val="5EAD35E6"/>
    <w:rsid w:val="5EBA644C"/>
    <w:rsid w:val="5EE04FEA"/>
    <w:rsid w:val="5F036358"/>
    <w:rsid w:val="5F18200A"/>
    <w:rsid w:val="5F2C277D"/>
    <w:rsid w:val="5F4409DB"/>
    <w:rsid w:val="5F9077CE"/>
    <w:rsid w:val="5FB4197A"/>
    <w:rsid w:val="5FBD7ABA"/>
    <w:rsid w:val="5FC0789B"/>
    <w:rsid w:val="5FCD2FC6"/>
    <w:rsid w:val="5FD3503F"/>
    <w:rsid w:val="5FE550B9"/>
    <w:rsid w:val="5FE67618"/>
    <w:rsid w:val="5FF17AF7"/>
    <w:rsid w:val="5FF8666E"/>
    <w:rsid w:val="600340D4"/>
    <w:rsid w:val="60221CE3"/>
    <w:rsid w:val="603249D0"/>
    <w:rsid w:val="603F1DD4"/>
    <w:rsid w:val="60405353"/>
    <w:rsid w:val="606A1657"/>
    <w:rsid w:val="60BD1DC7"/>
    <w:rsid w:val="60DD533F"/>
    <w:rsid w:val="60ED68E3"/>
    <w:rsid w:val="60F975B7"/>
    <w:rsid w:val="61007BB3"/>
    <w:rsid w:val="613F1E0B"/>
    <w:rsid w:val="617E2507"/>
    <w:rsid w:val="618C05DF"/>
    <w:rsid w:val="619918BC"/>
    <w:rsid w:val="61AB6D5E"/>
    <w:rsid w:val="61C301D2"/>
    <w:rsid w:val="622A33A1"/>
    <w:rsid w:val="624E61F2"/>
    <w:rsid w:val="62537044"/>
    <w:rsid w:val="62796FBA"/>
    <w:rsid w:val="627D6699"/>
    <w:rsid w:val="62866B4F"/>
    <w:rsid w:val="62905F8C"/>
    <w:rsid w:val="62CF3BB1"/>
    <w:rsid w:val="630E68EC"/>
    <w:rsid w:val="63367B83"/>
    <w:rsid w:val="63506F05"/>
    <w:rsid w:val="636D6E93"/>
    <w:rsid w:val="63783D95"/>
    <w:rsid w:val="63935DD7"/>
    <w:rsid w:val="639606D7"/>
    <w:rsid w:val="639F57FF"/>
    <w:rsid w:val="639F6101"/>
    <w:rsid w:val="63E53A7C"/>
    <w:rsid w:val="6407012F"/>
    <w:rsid w:val="64104F27"/>
    <w:rsid w:val="64141408"/>
    <w:rsid w:val="64530369"/>
    <w:rsid w:val="64607857"/>
    <w:rsid w:val="6497025F"/>
    <w:rsid w:val="64A2684E"/>
    <w:rsid w:val="64AF2EB3"/>
    <w:rsid w:val="64BA51FB"/>
    <w:rsid w:val="64BE3ED7"/>
    <w:rsid w:val="64CC624F"/>
    <w:rsid w:val="64DB0E89"/>
    <w:rsid w:val="64E7040E"/>
    <w:rsid w:val="64EB48E7"/>
    <w:rsid w:val="65052D6D"/>
    <w:rsid w:val="651A05F9"/>
    <w:rsid w:val="652A18E9"/>
    <w:rsid w:val="65521A9F"/>
    <w:rsid w:val="65593301"/>
    <w:rsid w:val="65A26687"/>
    <w:rsid w:val="65AC5777"/>
    <w:rsid w:val="65B823E4"/>
    <w:rsid w:val="65C3583B"/>
    <w:rsid w:val="65D55E24"/>
    <w:rsid w:val="660A6875"/>
    <w:rsid w:val="661E3793"/>
    <w:rsid w:val="662C19BA"/>
    <w:rsid w:val="6635726F"/>
    <w:rsid w:val="66427748"/>
    <w:rsid w:val="665B7E17"/>
    <w:rsid w:val="66756AC5"/>
    <w:rsid w:val="667A272D"/>
    <w:rsid w:val="66944663"/>
    <w:rsid w:val="66A46DBE"/>
    <w:rsid w:val="66B55182"/>
    <w:rsid w:val="66C74799"/>
    <w:rsid w:val="66C86D46"/>
    <w:rsid w:val="66F4660B"/>
    <w:rsid w:val="66FD0D5D"/>
    <w:rsid w:val="670A55BB"/>
    <w:rsid w:val="67260298"/>
    <w:rsid w:val="672C5E08"/>
    <w:rsid w:val="678655E4"/>
    <w:rsid w:val="678C1ADD"/>
    <w:rsid w:val="679A5EBC"/>
    <w:rsid w:val="67CF72FB"/>
    <w:rsid w:val="67D12239"/>
    <w:rsid w:val="67D30150"/>
    <w:rsid w:val="67D51E13"/>
    <w:rsid w:val="67D80E28"/>
    <w:rsid w:val="67DC6672"/>
    <w:rsid w:val="67E25E5D"/>
    <w:rsid w:val="67E64F11"/>
    <w:rsid w:val="67F81855"/>
    <w:rsid w:val="682704FD"/>
    <w:rsid w:val="68340A8E"/>
    <w:rsid w:val="685423A8"/>
    <w:rsid w:val="686327D0"/>
    <w:rsid w:val="68682BCE"/>
    <w:rsid w:val="687F432E"/>
    <w:rsid w:val="689F6D44"/>
    <w:rsid w:val="68B1358E"/>
    <w:rsid w:val="68B97797"/>
    <w:rsid w:val="68E00788"/>
    <w:rsid w:val="68FA12C4"/>
    <w:rsid w:val="694179B5"/>
    <w:rsid w:val="69526E6E"/>
    <w:rsid w:val="69866EA9"/>
    <w:rsid w:val="698B1BA7"/>
    <w:rsid w:val="698C031C"/>
    <w:rsid w:val="69911DB0"/>
    <w:rsid w:val="69BB00B0"/>
    <w:rsid w:val="69C421EC"/>
    <w:rsid w:val="69D17B04"/>
    <w:rsid w:val="69F6094A"/>
    <w:rsid w:val="69FB072B"/>
    <w:rsid w:val="6A181788"/>
    <w:rsid w:val="6A1A359A"/>
    <w:rsid w:val="6A2B637E"/>
    <w:rsid w:val="6A4E05AD"/>
    <w:rsid w:val="6A6D53F9"/>
    <w:rsid w:val="6A8A30F8"/>
    <w:rsid w:val="6A911C01"/>
    <w:rsid w:val="6AB64D88"/>
    <w:rsid w:val="6AC347B9"/>
    <w:rsid w:val="6B2B04C9"/>
    <w:rsid w:val="6B2E36E4"/>
    <w:rsid w:val="6B3E79CF"/>
    <w:rsid w:val="6B476E8A"/>
    <w:rsid w:val="6B596682"/>
    <w:rsid w:val="6B6B18B9"/>
    <w:rsid w:val="6BA24EEA"/>
    <w:rsid w:val="6BB30BD9"/>
    <w:rsid w:val="6BB871A9"/>
    <w:rsid w:val="6BDD6631"/>
    <w:rsid w:val="6BE55476"/>
    <w:rsid w:val="6BFD189C"/>
    <w:rsid w:val="6C1236EB"/>
    <w:rsid w:val="6C3B1273"/>
    <w:rsid w:val="6C3B67F3"/>
    <w:rsid w:val="6C4114B7"/>
    <w:rsid w:val="6C4A2C64"/>
    <w:rsid w:val="6C4D1A04"/>
    <w:rsid w:val="6C513D88"/>
    <w:rsid w:val="6C553FA7"/>
    <w:rsid w:val="6C81794F"/>
    <w:rsid w:val="6C8A1464"/>
    <w:rsid w:val="6C900286"/>
    <w:rsid w:val="6C926B4A"/>
    <w:rsid w:val="6C9A439F"/>
    <w:rsid w:val="6CA870EF"/>
    <w:rsid w:val="6CB81AD5"/>
    <w:rsid w:val="6CD94576"/>
    <w:rsid w:val="6CF437F4"/>
    <w:rsid w:val="6CFD1532"/>
    <w:rsid w:val="6D1860F7"/>
    <w:rsid w:val="6D21407B"/>
    <w:rsid w:val="6D4B0BCE"/>
    <w:rsid w:val="6D4B2027"/>
    <w:rsid w:val="6D54644F"/>
    <w:rsid w:val="6D8A6E34"/>
    <w:rsid w:val="6D934F34"/>
    <w:rsid w:val="6DA84FCC"/>
    <w:rsid w:val="6DB8614F"/>
    <w:rsid w:val="6DCC6D09"/>
    <w:rsid w:val="6DDA7697"/>
    <w:rsid w:val="6DE51247"/>
    <w:rsid w:val="6DF00A3C"/>
    <w:rsid w:val="6DFC7938"/>
    <w:rsid w:val="6E0140D6"/>
    <w:rsid w:val="6E0177B1"/>
    <w:rsid w:val="6E032083"/>
    <w:rsid w:val="6E173736"/>
    <w:rsid w:val="6E1F6252"/>
    <w:rsid w:val="6E657428"/>
    <w:rsid w:val="6E953946"/>
    <w:rsid w:val="6ED91CEC"/>
    <w:rsid w:val="6EE212C1"/>
    <w:rsid w:val="6EE5259E"/>
    <w:rsid w:val="6EE7506F"/>
    <w:rsid w:val="6F097ACF"/>
    <w:rsid w:val="6F2A180A"/>
    <w:rsid w:val="6F3C0F5D"/>
    <w:rsid w:val="6F3D55FD"/>
    <w:rsid w:val="6F4E61DA"/>
    <w:rsid w:val="6F522B85"/>
    <w:rsid w:val="6F577719"/>
    <w:rsid w:val="6F615FC6"/>
    <w:rsid w:val="6F9231B5"/>
    <w:rsid w:val="6F995FDC"/>
    <w:rsid w:val="6FAE6544"/>
    <w:rsid w:val="6FB369E2"/>
    <w:rsid w:val="6FC6326F"/>
    <w:rsid w:val="6FC733F1"/>
    <w:rsid w:val="6FDC0CF9"/>
    <w:rsid w:val="6FDF33B3"/>
    <w:rsid w:val="6FFC637B"/>
    <w:rsid w:val="70184D65"/>
    <w:rsid w:val="701C4BA6"/>
    <w:rsid w:val="70343D57"/>
    <w:rsid w:val="70510325"/>
    <w:rsid w:val="7051121E"/>
    <w:rsid w:val="70553EA4"/>
    <w:rsid w:val="70737DFC"/>
    <w:rsid w:val="70781921"/>
    <w:rsid w:val="707B1F35"/>
    <w:rsid w:val="708A4327"/>
    <w:rsid w:val="70A026D0"/>
    <w:rsid w:val="70AC2FA8"/>
    <w:rsid w:val="70B05914"/>
    <w:rsid w:val="70B92E80"/>
    <w:rsid w:val="70B96002"/>
    <w:rsid w:val="70C00F2D"/>
    <w:rsid w:val="70EC3574"/>
    <w:rsid w:val="70F13EFE"/>
    <w:rsid w:val="71202FCA"/>
    <w:rsid w:val="71432501"/>
    <w:rsid w:val="71995468"/>
    <w:rsid w:val="71AC08D3"/>
    <w:rsid w:val="71BFE27C"/>
    <w:rsid w:val="71C31A66"/>
    <w:rsid w:val="71C37BEA"/>
    <w:rsid w:val="72082B1D"/>
    <w:rsid w:val="720D00D1"/>
    <w:rsid w:val="722149AB"/>
    <w:rsid w:val="723312E7"/>
    <w:rsid w:val="72441462"/>
    <w:rsid w:val="7258171C"/>
    <w:rsid w:val="727A74F7"/>
    <w:rsid w:val="72A144D0"/>
    <w:rsid w:val="72B5055D"/>
    <w:rsid w:val="72B97B86"/>
    <w:rsid w:val="72BA31DF"/>
    <w:rsid w:val="72C119BF"/>
    <w:rsid w:val="72C54871"/>
    <w:rsid w:val="72C639D1"/>
    <w:rsid w:val="72F254C3"/>
    <w:rsid w:val="73032215"/>
    <w:rsid w:val="73062B88"/>
    <w:rsid w:val="731024E3"/>
    <w:rsid w:val="73104C72"/>
    <w:rsid w:val="732C02D5"/>
    <w:rsid w:val="73537081"/>
    <w:rsid w:val="735410B4"/>
    <w:rsid w:val="735E4B79"/>
    <w:rsid w:val="73721276"/>
    <w:rsid w:val="73926CEC"/>
    <w:rsid w:val="73A20DAB"/>
    <w:rsid w:val="73C85882"/>
    <w:rsid w:val="73F768C0"/>
    <w:rsid w:val="73FA3661"/>
    <w:rsid w:val="73FD0653"/>
    <w:rsid w:val="740078AD"/>
    <w:rsid w:val="74050ADC"/>
    <w:rsid w:val="74111489"/>
    <w:rsid w:val="74141BD1"/>
    <w:rsid w:val="74253BCD"/>
    <w:rsid w:val="742F4A35"/>
    <w:rsid w:val="743F2C22"/>
    <w:rsid w:val="744139DF"/>
    <w:rsid w:val="749E3CE7"/>
    <w:rsid w:val="74A326E4"/>
    <w:rsid w:val="74B27A16"/>
    <w:rsid w:val="74DB651D"/>
    <w:rsid w:val="750C318F"/>
    <w:rsid w:val="751424F6"/>
    <w:rsid w:val="752410BD"/>
    <w:rsid w:val="75321CAD"/>
    <w:rsid w:val="75351417"/>
    <w:rsid w:val="75386195"/>
    <w:rsid w:val="753B73AE"/>
    <w:rsid w:val="753D3DD6"/>
    <w:rsid w:val="758A7601"/>
    <w:rsid w:val="75963ED2"/>
    <w:rsid w:val="75EA3B7B"/>
    <w:rsid w:val="75F33031"/>
    <w:rsid w:val="760E4841"/>
    <w:rsid w:val="764F6837"/>
    <w:rsid w:val="767C1E80"/>
    <w:rsid w:val="76B169E9"/>
    <w:rsid w:val="76CE497F"/>
    <w:rsid w:val="772275FF"/>
    <w:rsid w:val="7755373E"/>
    <w:rsid w:val="776860E1"/>
    <w:rsid w:val="776E556B"/>
    <w:rsid w:val="778F30C7"/>
    <w:rsid w:val="77976DD0"/>
    <w:rsid w:val="77A807CC"/>
    <w:rsid w:val="77CD3B2D"/>
    <w:rsid w:val="77EE77A0"/>
    <w:rsid w:val="780543EB"/>
    <w:rsid w:val="78244959"/>
    <w:rsid w:val="782F0F80"/>
    <w:rsid w:val="78733065"/>
    <w:rsid w:val="78784AF2"/>
    <w:rsid w:val="78893D99"/>
    <w:rsid w:val="7899727F"/>
    <w:rsid w:val="78AF7B99"/>
    <w:rsid w:val="78B72AAC"/>
    <w:rsid w:val="78CE2C3B"/>
    <w:rsid w:val="78D55718"/>
    <w:rsid w:val="78D5760D"/>
    <w:rsid w:val="78E0775E"/>
    <w:rsid w:val="78E22B3F"/>
    <w:rsid w:val="78EC70BC"/>
    <w:rsid w:val="78F159D0"/>
    <w:rsid w:val="79066D6C"/>
    <w:rsid w:val="790F0B7F"/>
    <w:rsid w:val="793270D8"/>
    <w:rsid w:val="796C5949"/>
    <w:rsid w:val="799A0C93"/>
    <w:rsid w:val="799A1E5B"/>
    <w:rsid w:val="79CC52DF"/>
    <w:rsid w:val="79D81D95"/>
    <w:rsid w:val="79DD0C6F"/>
    <w:rsid w:val="79F25AB7"/>
    <w:rsid w:val="79F673C2"/>
    <w:rsid w:val="7A1D7974"/>
    <w:rsid w:val="7A20349C"/>
    <w:rsid w:val="7A2937F2"/>
    <w:rsid w:val="7A2F05FD"/>
    <w:rsid w:val="7A3D13EA"/>
    <w:rsid w:val="7A9E3591"/>
    <w:rsid w:val="7AAC3950"/>
    <w:rsid w:val="7AB73474"/>
    <w:rsid w:val="7AB9140E"/>
    <w:rsid w:val="7B00679F"/>
    <w:rsid w:val="7B056B39"/>
    <w:rsid w:val="7B092DA9"/>
    <w:rsid w:val="7B0F1F47"/>
    <w:rsid w:val="7B1E121E"/>
    <w:rsid w:val="7B320533"/>
    <w:rsid w:val="7B3DAAFE"/>
    <w:rsid w:val="7B3E21BC"/>
    <w:rsid w:val="7B577AFE"/>
    <w:rsid w:val="7B982AB5"/>
    <w:rsid w:val="7BA7329D"/>
    <w:rsid w:val="7BAF3FA2"/>
    <w:rsid w:val="7BD17590"/>
    <w:rsid w:val="7BDD0D86"/>
    <w:rsid w:val="7BE565F7"/>
    <w:rsid w:val="7BF344D7"/>
    <w:rsid w:val="7BFE6EFF"/>
    <w:rsid w:val="7BFF16FF"/>
    <w:rsid w:val="7C061C61"/>
    <w:rsid w:val="7C293B25"/>
    <w:rsid w:val="7C332491"/>
    <w:rsid w:val="7C3C7895"/>
    <w:rsid w:val="7C4C2B2C"/>
    <w:rsid w:val="7C672636"/>
    <w:rsid w:val="7C686046"/>
    <w:rsid w:val="7C780C5D"/>
    <w:rsid w:val="7C7C675A"/>
    <w:rsid w:val="7C7D6F24"/>
    <w:rsid w:val="7C8D2BC9"/>
    <w:rsid w:val="7CA21308"/>
    <w:rsid w:val="7CD41603"/>
    <w:rsid w:val="7CE64DD6"/>
    <w:rsid w:val="7CF71D20"/>
    <w:rsid w:val="7D0E7EA0"/>
    <w:rsid w:val="7D3B523C"/>
    <w:rsid w:val="7D525A31"/>
    <w:rsid w:val="7D6449AF"/>
    <w:rsid w:val="7D9608D7"/>
    <w:rsid w:val="7DA75CA7"/>
    <w:rsid w:val="7DAA2A5E"/>
    <w:rsid w:val="7DC84573"/>
    <w:rsid w:val="7DFE3843"/>
    <w:rsid w:val="7E2E4B93"/>
    <w:rsid w:val="7E322230"/>
    <w:rsid w:val="7E3B6CEE"/>
    <w:rsid w:val="7E442206"/>
    <w:rsid w:val="7E56403A"/>
    <w:rsid w:val="7E5F2E56"/>
    <w:rsid w:val="7EB57CF9"/>
    <w:rsid w:val="7ED074E8"/>
    <w:rsid w:val="7F381651"/>
    <w:rsid w:val="7F411671"/>
    <w:rsid w:val="7F835B7B"/>
    <w:rsid w:val="7FA12F18"/>
    <w:rsid w:val="7FDA3DEA"/>
    <w:rsid w:val="7FEE0968"/>
    <w:rsid w:val="BEFB10A4"/>
    <w:rsid w:val="EFF6022F"/>
    <w:rsid w:val="FFEF552B"/>
    <w:rsid w:val="FFFBB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0" w:beforeLines="0" w:after="0" w:afterLines="0" w:line="560" w:lineRule="exact"/>
      <w:ind w:firstLine="883" w:firstLineChars="200"/>
      <w:jc w:val="left"/>
    </w:pPr>
    <w:rPr>
      <w:rFonts w:ascii="仿宋_GB2312" w:hAnsi="仿宋_GB2312" w:eastAsia="仿宋_GB2312" w:cs="21"/>
      <w:sz w:val="32"/>
      <w:szCs w:val="22"/>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560" w:lineRule="exact"/>
      <w:ind w:left="720" w:firstLine="0" w:firstLineChars="0"/>
      <w:jc w:val="left"/>
    </w:pPr>
    <w:rPr>
      <w:rFonts w:ascii="方正仿宋_GBK" w:hAnsi="方正仿宋_GBK" w:eastAsia="方正仿宋_GBK" w:cs="21"/>
      <w:sz w:val="32"/>
      <w:szCs w:val="22"/>
      <w:lang w:eastAsia="en-US"/>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qFormat/>
    <w:uiPriority w:val="0"/>
    <w:pPr>
      <w:widowControl w:val="0"/>
      <w:ind w:firstLine="420" w:firstLineChars="100"/>
      <w:jc w:val="both"/>
    </w:pPr>
    <w:rPr>
      <w:rFonts w:ascii="宋体" w:hAnsi="宋体" w:eastAsia="宋体" w:cs="宋体"/>
      <w:kern w:val="2"/>
      <w:sz w:val="32"/>
      <w:szCs w:val="32"/>
      <w:lang w:val="zh-CN" w:eastAsia="zh-CN" w:bidi="zh-CN"/>
    </w:rPr>
  </w:style>
  <w:style w:type="paragraph" w:styleId="8">
    <w:name w:val="Body Text First Indent 2"/>
    <w:next w:val="7"/>
    <w:qFormat/>
    <w:uiPriority w:val="0"/>
    <w:pPr>
      <w:widowControl w:val="0"/>
      <w:spacing w:after="120"/>
      <w:ind w:left="420" w:leftChars="200" w:firstLine="420" w:firstLineChars="200"/>
      <w:jc w:val="both"/>
    </w:pPr>
    <w:rPr>
      <w:rFonts w:ascii="仿宋_GB2312"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4409</Words>
  <Characters>4643</Characters>
  <Lines>0</Lines>
  <Paragraphs>0</Paragraphs>
  <TotalTime>12</TotalTime>
  <ScaleCrop>false</ScaleCrop>
  <LinksUpToDate>false</LinksUpToDate>
  <CharactersWithSpaces>4894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2025-09-06T18:43:00Z</dcterms:created>
  <dc:creator>nx</dc:creator>
  <cp:lastModifiedBy>YHB</cp:lastModifiedBy>
  <cp:lastPrinted>2025-09-08T23:58:00Z</cp:lastPrinted>
  <dcterms:modified xsi:type="dcterms:W3CDTF">2025-09-24T11:09:23Z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A45DF1C907F14F33A689C9F1599F4040</vt:lpwstr>
  </property>
  <property fmtid="{D5CDD505-2E9C-101B-9397-08002B2CF9AE}" pid="4" name="KSOTemplateDocerSaveRecord">
    <vt:lpwstr>eyJoZGlkIjoiYjliYjUxOGFkOGE1ZTUyZDQzYjM2ZmIxNTczYWFmOTEiLCJ1c2VySWQiOiIxNjU3OTkwMTk0In0=</vt:lpwstr>
  </property>
</Properties>
</file>