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left"/>
        <w:textAlignment w:val="auto"/>
        <w:rPr>
          <w:rStyle w:val="32"/>
          <w:rFonts w:hint="eastAsia" w:ascii="CESI黑体-GB2312" w:hAnsi="CESI黑体-GB2312" w:eastAsia="CESI黑体-GB2312" w:cs="CESI黑体-GB2312"/>
          <w:b w:val="0"/>
          <w:bCs w:val="0"/>
          <w:color w:val="000000"/>
          <w:sz w:val="32"/>
          <w:szCs w:val="32"/>
          <w:lang w:eastAsia="zh-CN"/>
        </w:rPr>
      </w:pPr>
      <w:bookmarkStart w:id="27" w:name="_GoBack"/>
      <w:bookmarkEnd w:id="27"/>
      <w:r>
        <w:rPr>
          <w:rStyle w:val="32"/>
          <w:rFonts w:hint="eastAsia" w:ascii="CESI黑体-GB2312" w:hAnsi="CESI黑体-GB2312" w:eastAsia="CESI黑体-GB2312" w:cs="CESI黑体-GB2312"/>
          <w:b w:val="0"/>
          <w:bCs w:val="0"/>
          <w:color w:val="000000"/>
          <w:sz w:val="32"/>
          <w:szCs w:val="32"/>
          <w:lang w:eastAsia="zh-CN"/>
        </w:rPr>
        <w:t>附件</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rPr>
          <w:rStyle w:val="32"/>
          <w:rFonts w:hint="eastAsia" w:ascii="方正小标宋_GBK" w:hAnsi="方正小标宋_GBK" w:eastAsia="方正小标宋_GBK" w:cs="方正小标宋_GBK"/>
          <w:b w:val="0"/>
          <w:bCs w:val="0"/>
          <w:color w:val="000000"/>
          <w:sz w:val="40"/>
          <w:szCs w:val="40"/>
        </w:rPr>
      </w:pPr>
      <w:r>
        <w:rPr>
          <w:rStyle w:val="32"/>
          <w:rFonts w:hint="eastAsia" w:ascii="方正小标宋_GBK" w:hAnsi="方正小标宋_GBK" w:eastAsia="方正小标宋_GBK" w:cs="方正小标宋_GBK"/>
          <w:b w:val="0"/>
          <w:bCs w:val="0"/>
          <w:color w:val="000000"/>
          <w:sz w:val="40"/>
          <w:szCs w:val="40"/>
        </w:rPr>
        <w:t>山西省深化</w:t>
      </w:r>
      <w:bookmarkStart w:id="0" w:name="OLE_LINK1"/>
      <w:r>
        <w:rPr>
          <w:rStyle w:val="32"/>
          <w:rFonts w:hint="eastAsia" w:ascii="方正小标宋_GBK" w:hAnsi="方正小标宋_GBK" w:eastAsia="方正小标宋_GBK" w:cs="方正小标宋_GBK"/>
          <w:b w:val="0"/>
          <w:bCs w:val="0"/>
          <w:color w:val="000000"/>
          <w:sz w:val="40"/>
          <w:szCs w:val="40"/>
        </w:rPr>
        <w:t>新能源上网电价市场化改革</w:t>
      </w:r>
      <w:bookmarkEnd w:id="0"/>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Style w:val="32"/>
          <w:rFonts w:hint="eastAsia" w:ascii="方正小标宋_GBK" w:hAnsi="方正小标宋_GBK" w:eastAsia="方正小标宋_GBK" w:cs="方正小标宋_GBK"/>
          <w:sz w:val="40"/>
          <w:szCs w:val="40"/>
        </w:rPr>
      </w:pPr>
      <w:r>
        <w:rPr>
          <w:rStyle w:val="32"/>
          <w:rFonts w:hint="eastAsia" w:ascii="方正小标宋_GBK" w:hAnsi="方正小标宋_GBK" w:eastAsia="方正小标宋_GBK" w:cs="方正小标宋_GBK"/>
          <w:b w:val="0"/>
          <w:bCs w:val="0"/>
          <w:color w:val="000000"/>
          <w:sz w:val="40"/>
          <w:szCs w:val="40"/>
        </w:rPr>
        <w:t>促进新能源高质量发展实施方案</w:t>
      </w:r>
      <w:r>
        <w:rPr>
          <w:rStyle w:val="32"/>
          <w:rFonts w:hint="eastAsia" w:ascii="方正小标宋_GBK" w:hAnsi="方正小标宋_GBK" w:eastAsia="方正小标宋_GBK" w:cs="方正小标宋_GBK"/>
          <w:sz w:val="40"/>
          <w:szCs w:val="40"/>
        </w:rPr>
        <w:t>（征求意见稿）</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both"/>
        <w:textAlignment w:val="auto"/>
        <w:outlineLvl w:val="9"/>
        <w:rPr>
          <w:rFonts w:hint="eastAsia" w:ascii="方正楷体_GBK" w:hAnsi="方正楷体_GBK" w:eastAsia="方正楷体_GBK" w:cs="方正楷体_GBK"/>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为加快构建新型电力系统、健全绿色低碳发展机制，充分发挥市场在资源配置中的决定</w:t>
      </w:r>
      <w:r>
        <w:rPr>
          <w:rFonts w:hint="eastAsia" w:ascii="方正仿宋_GBK" w:hAnsi="方正仿宋_GBK" w:eastAsia="方正仿宋_GBK" w:cs="方正仿宋_GBK"/>
          <w:color w:val="auto"/>
          <w:sz w:val="32"/>
          <w:szCs w:val="32"/>
          <w:highlight w:val="none"/>
          <w:lang w:eastAsia="zh-CN"/>
        </w:rPr>
        <w:t>性</w:t>
      </w:r>
      <w:r>
        <w:rPr>
          <w:rFonts w:hint="eastAsia" w:ascii="方正仿宋_GBK" w:hAnsi="方正仿宋_GBK" w:eastAsia="方正仿宋_GBK" w:cs="方正仿宋_GBK"/>
          <w:color w:val="auto"/>
          <w:sz w:val="32"/>
          <w:szCs w:val="32"/>
          <w:highlight w:val="none"/>
        </w:rPr>
        <w:t>作用，大力推动新能源高质量发展，</w:t>
      </w:r>
      <w:r>
        <w:rPr>
          <w:rFonts w:hint="eastAsia" w:ascii="方正仿宋_GBK" w:hAnsi="方正仿宋_GBK" w:eastAsia="方正仿宋_GBK" w:cs="方正仿宋_GBK"/>
          <w:color w:val="auto"/>
          <w:sz w:val="32"/>
          <w:szCs w:val="32"/>
          <w:highlight w:val="none"/>
          <w:lang w:val="en-US" w:eastAsia="zh-CN"/>
        </w:rPr>
        <w:t>根据</w:t>
      </w:r>
      <w:r>
        <w:rPr>
          <w:rFonts w:hint="eastAsia" w:ascii="方正仿宋_GBK" w:hAnsi="方正仿宋_GBK" w:eastAsia="方正仿宋_GBK" w:cs="方正仿宋_GBK"/>
          <w:color w:val="auto"/>
          <w:sz w:val="32"/>
          <w:szCs w:val="32"/>
          <w:highlight w:val="none"/>
        </w:rPr>
        <w:t>《关于深化新能源上网电价市场化改革 促进新能源高质量发展的通知》（发改价格〔2025〕136号）</w:t>
      </w:r>
      <w:r>
        <w:rPr>
          <w:rFonts w:hint="eastAsia" w:ascii="方正仿宋_GBK" w:hAnsi="方正仿宋_GBK" w:eastAsia="方正仿宋_GBK" w:cs="方正仿宋_GBK"/>
          <w:color w:val="auto"/>
          <w:sz w:val="32"/>
          <w:szCs w:val="32"/>
          <w:highlight w:val="none"/>
          <w:lang w:eastAsia="zh-CN"/>
        </w:rPr>
        <w:t>、</w:t>
      </w:r>
      <w:bookmarkStart w:id="1" w:name="OLE_LINK28"/>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电力现货市场基本规则</w:t>
      </w:r>
      <w:r>
        <w:rPr>
          <w:rFonts w:hint="eastAsia" w:ascii="方正仿宋_GBK" w:hAnsi="方正仿宋_GBK" w:eastAsia="方正仿宋_GBK" w:cs="方正仿宋_GBK"/>
          <w:color w:val="auto"/>
          <w:sz w:val="32"/>
          <w:szCs w:val="32"/>
          <w:highlight w:val="none"/>
          <w:lang w:eastAsia="zh-CN"/>
        </w:rPr>
        <w:t>（试行）》</w:t>
      </w:r>
      <w:bookmarkStart w:id="2" w:name="OLE_LINK14"/>
      <w:r>
        <w:rPr>
          <w:rFonts w:hint="eastAsia" w:ascii="方正仿宋_GBK" w:hAnsi="方正仿宋_GBK" w:eastAsia="方正仿宋_GBK" w:cs="方正仿宋_GBK"/>
          <w:color w:val="auto"/>
          <w:sz w:val="32"/>
          <w:szCs w:val="32"/>
          <w:highlight w:val="none"/>
        </w:rPr>
        <w:t>（发改能源规〔2023〕1217号）</w:t>
      </w:r>
      <w:bookmarkEnd w:id="1"/>
      <w:bookmarkEnd w:id="2"/>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电力辅助服务市场基本规则</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（发改能源规〔202</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411</w:t>
      </w:r>
      <w:r>
        <w:rPr>
          <w:rFonts w:hint="eastAsia" w:ascii="方正仿宋_GBK" w:hAnsi="方正仿宋_GBK" w:eastAsia="方正仿宋_GBK" w:cs="方正仿宋_GBK"/>
          <w:color w:val="auto"/>
          <w:sz w:val="32"/>
          <w:szCs w:val="32"/>
          <w:highlight w:val="none"/>
        </w:rPr>
        <w:t>号）</w:t>
      </w:r>
      <w:r>
        <w:rPr>
          <w:rFonts w:hint="eastAsia" w:ascii="方正仿宋_GBK" w:hAnsi="方正仿宋_GBK" w:eastAsia="方正仿宋_GBK" w:cs="方正仿宋_GBK"/>
          <w:color w:val="auto"/>
          <w:sz w:val="32"/>
          <w:szCs w:val="32"/>
          <w:highlight w:val="none"/>
          <w:lang w:eastAsia="zh-CN"/>
        </w:rPr>
        <w:t>、</w:t>
      </w:r>
      <w:bookmarkStart w:id="3" w:name="OLE_LINK30"/>
      <w:r>
        <w:rPr>
          <w:rFonts w:hint="eastAsia" w:ascii="方正仿宋_GBK" w:hAnsi="方正仿宋_GBK" w:eastAsia="方正仿宋_GBK" w:cs="方正仿宋_GBK"/>
          <w:color w:val="auto"/>
          <w:sz w:val="32"/>
          <w:szCs w:val="32"/>
          <w:highlight w:val="none"/>
          <w:lang w:eastAsia="zh-CN"/>
        </w:rPr>
        <w:t>《关于全面加快电力现货市场建设工作的通知》</w:t>
      </w:r>
      <w:r>
        <w:rPr>
          <w:rFonts w:hint="eastAsia" w:ascii="方正仿宋_GBK" w:hAnsi="方正仿宋_GBK" w:eastAsia="方正仿宋_GBK" w:cs="方正仿宋_GBK"/>
          <w:color w:val="auto"/>
          <w:sz w:val="32"/>
          <w:szCs w:val="32"/>
          <w:highlight w:val="none"/>
        </w:rPr>
        <w:t>（发改</w:t>
      </w:r>
      <w:r>
        <w:rPr>
          <w:rFonts w:hint="eastAsia" w:ascii="方正仿宋_GBK" w:hAnsi="方正仿宋_GBK" w:eastAsia="方正仿宋_GBK" w:cs="方正仿宋_GBK"/>
          <w:color w:val="auto"/>
          <w:sz w:val="32"/>
          <w:szCs w:val="32"/>
          <w:highlight w:val="none"/>
          <w:lang w:eastAsia="zh-CN"/>
        </w:rPr>
        <w:t>办体改</w:t>
      </w: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394</w:t>
      </w:r>
      <w:r>
        <w:rPr>
          <w:rFonts w:hint="eastAsia" w:ascii="方正仿宋_GBK" w:hAnsi="方正仿宋_GBK" w:eastAsia="方正仿宋_GBK" w:cs="方正仿宋_GBK"/>
          <w:color w:val="auto"/>
          <w:sz w:val="32"/>
          <w:szCs w:val="32"/>
          <w:highlight w:val="none"/>
        </w:rPr>
        <w:t>号）</w:t>
      </w:r>
      <w:bookmarkEnd w:id="3"/>
      <w:r>
        <w:rPr>
          <w:rFonts w:hint="eastAsia" w:ascii="方正仿宋_GBK" w:hAnsi="方正仿宋_GBK" w:eastAsia="方正仿宋_GBK" w:cs="方正仿宋_GBK"/>
          <w:color w:val="auto"/>
          <w:sz w:val="32"/>
          <w:szCs w:val="32"/>
          <w:highlight w:val="none"/>
          <w:lang w:eastAsia="zh-CN"/>
        </w:rPr>
        <w:t>、《电力系统调节能力优化专项行动实施方案（2025-2027年）》（发改能源〔2024〕1803号）、《电力市场计量结算基本规则》</w:t>
      </w:r>
      <w:r>
        <w:rPr>
          <w:rFonts w:hint="eastAsia" w:ascii="方正仿宋_GBK" w:hAnsi="方正仿宋_GBK" w:eastAsia="方正仿宋_GBK" w:cs="方正仿宋_GBK"/>
          <w:color w:val="auto"/>
          <w:sz w:val="32"/>
          <w:szCs w:val="32"/>
          <w:highlight w:val="none"/>
        </w:rPr>
        <w:t>（发改能</w:t>
      </w:r>
      <w:r>
        <w:rPr>
          <w:rFonts w:hint="eastAsia" w:ascii="方正仿宋_GBK" w:hAnsi="方正仿宋_GBK" w:eastAsia="方正仿宋_GBK" w:cs="方正仿宋_GBK"/>
          <w:color w:val="auto"/>
          <w:sz w:val="32"/>
          <w:szCs w:val="32"/>
          <w:highlight w:val="none"/>
          <w:lang w:val="en-US" w:eastAsia="zh-CN"/>
        </w:rPr>
        <w:t>源规</w:t>
      </w: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976</w:t>
      </w:r>
      <w:r>
        <w:rPr>
          <w:rFonts w:hint="eastAsia" w:ascii="方正仿宋_GBK" w:hAnsi="方正仿宋_GBK" w:eastAsia="方正仿宋_GBK" w:cs="方正仿宋_GBK"/>
          <w:color w:val="auto"/>
          <w:sz w:val="32"/>
          <w:szCs w:val="32"/>
          <w:highlight w:val="none"/>
        </w:rPr>
        <w:t>号）等文件精神，结合</w:t>
      </w:r>
      <w:r>
        <w:rPr>
          <w:rFonts w:hint="eastAsia" w:ascii="方正仿宋_GBK" w:hAnsi="方正仿宋_GBK" w:eastAsia="方正仿宋_GBK" w:cs="方正仿宋_GBK"/>
          <w:color w:val="auto"/>
          <w:sz w:val="32"/>
          <w:szCs w:val="32"/>
          <w:highlight w:val="none"/>
          <w:lang w:eastAsia="zh-CN"/>
        </w:rPr>
        <w:t>山西</w:t>
      </w:r>
      <w:r>
        <w:rPr>
          <w:rFonts w:hint="eastAsia" w:ascii="方正仿宋_GBK" w:hAnsi="方正仿宋_GBK" w:eastAsia="方正仿宋_GBK" w:cs="方正仿宋_GBK"/>
          <w:color w:val="auto"/>
          <w:sz w:val="32"/>
          <w:szCs w:val="32"/>
          <w:highlight w:val="none"/>
        </w:rPr>
        <w:t>实际，制定本实施方案。</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0"/>
        <w:rPr>
          <w:rFonts w:hint="eastAsia" w:ascii="方正黑体_GBK" w:hAnsi="方正黑体_GBK" w:eastAsia="方正黑体_GBK" w:cs="方正黑体_GBK"/>
          <w:color w:val="auto"/>
          <w:sz w:val="32"/>
          <w:szCs w:val="32"/>
          <w:highlight w:val="none"/>
        </w:rPr>
      </w:pPr>
      <w:r>
        <w:rPr>
          <w:rFonts w:hint="eastAsia" w:cs="方正黑体_GBK"/>
          <w:color w:val="auto"/>
          <w:sz w:val="32"/>
          <w:szCs w:val="32"/>
          <w:highlight w:val="none"/>
          <w:lang w:eastAsia="zh-CN"/>
        </w:rPr>
        <w:t>一</w:t>
      </w:r>
      <w:r>
        <w:rPr>
          <w:rFonts w:hint="eastAsia" w:ascii="方正黑体_GBK" w:hAnsi="方正黑体_GBK" w:eastAsia="方正黑体_GBK" w:cs="方正黑体_GBK"/>
          <w:color w:val="auto"/>
          <w:sz w:val="32"/>
          <w:szCs w:val="32"/>
          <w:highlight w:val="none"/>
        </w:rPr>
        <w:t>、改革</w:t>
      </w:r>
      <w:r>
        <w:rPr>
          <w:rFonts w:hint="eastAsia" w:ascii="方正黑体_GBK" w:hAnsi="方正黑体_GBK" w:eastAsia="方正黑体_GBK" w:cs="方正黑体_GBK"/>
          <w:color w:val="auto"/>
          <w:sz w:val="32"/>
          <w:szCs w:val="32"/>
          <w:highlight w:val="none"/>
          <w:lang w:eastAsia="zh-CN"/>
        </w:rPr>
        <w:t>举措</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（一）</w:t>
      </w:r>
      <w:r>
        <w:rPr>
          <w:rFonts w:hint="eastAsia" w:ascii="方正楷体_GBK" w:hAnsi="方正楷体_GBK" w:eastAsia="方正楷体_GBK" w:cs="方正楷体_GBK"/>
          <w:b/>
          <w:bCs/>
          <w:color w:val="auto"/>
          <w:sz w:val="32"/>
          <w:szCs w:val="32"/>
          <w:highlight w:val="none"/>
        </w:rPr>
        <w:t>推动新能源上网</w:t>
      </w:r>
      <w:r>
        <w:rPr>
          <w:rFonts w:hint="eastAsia" w:ascii="方正楷体_GBK" w:hAnsi="方正楷体_GBK" w:eastAsia="方正楷体_GBK" w:cs="方正楷体_GBK"/>
          <w:b/>
          <w:bCs/>
          <w:color w:val="auto"/>
          <w:sz w:val="32"/>
          <w:szCs w:val="32"/>
          <w:highlight w:val="none"/>
          <w:lang w:val="en-US" w:eastAsia="zh-CN"/>
        </w:rPr>
        <w:t>电量参与市场交易</w:t>
      </w:r>
      <w:r>
        <w:rPr>
          <w:rFonts w:hint="eastAsia" w:ascii="方正楷体_GBK" w:hAnsi="方正楷体_GBK" w:eastAsia="方正楷体_GBK" w:cs="方正楷体_GBK"/>
          <w:b/>
          <w:bCs/>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eastAsia="zh-CN"/>
        </w:rPr>
        <w:t>新能源项目(风电、光伏发电项目，下同)上网电量原则上全部进入电力市场，以“报量报价”方式参与交易形成上网电价，暂不具备条件的接受市场形成的价格。适时推动生物质发电等电源参与电力市场交易。</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参与跨省跨区交易的新能源电量，上网电价和交易机制按照跨省跨区送电价格政策执行；外送通道配套新能源项目按照国家有关规定执行，暂不纳入我省机制电价实施范围。</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sz w:val="32"/>
          <w:szCs w:val="32"/>
          <w:highlight w:val="none"/>
          <w:lang w:eastAsia="zh-CN"/>
        </w:rPr>
      </w:pPr>
      <w:bookmarkStart w:id="4" w:name="OLE_LINK5"/>
      <w:r>
        <w:rPr>
          <w:rFonts w:hint="eastAsia" w:ascii="方正楷体_GBK" w:hAnsi="方正楷体_GBK" w:eastAsia="方正楷体_GBK" w:cs="方正楷体_GBK"/>
          <w:b/>
          <w:bCs/>
          <w:color w:val="auto"/>
          <w:sz w:val="32"/>
          <w:szCs w:val="32"/>
          <w:highlight w:val="none"/>
          <w:lang w:eastAsia="zh-CN"/>
        </w:rPr>
        <w:t>（二）建立新能源可持续发展价格结算机制。</w:t>
      </w:r>
      <w:bookmarkEnd w:id="4"/>
      <w:r>
        <w:rPr>
          <w:rFonts w:hint="eastAsia" w:ascii="方正仿宋_GBK" w:hAnsi="方正仿宋_GBK" w:eastAsia="方正仿宋_GBK" w:cs="方正仿宋_GBK"/>
          <w:b w:val="0"/>
          <w:bCs w:val="0"/>
          <w:color w:val="auto"/>
          <w:sz w:val="32"/>
          <w:szCs w:val="32"/>
          <w:highlight w:val="none"/>
          <w:lang w:eastAsia="zh-CN"/>
        </w:rPr>
        <w:t>新能源参与电力市场交易后，在市场外建立差价结算机制，纳入机制的新能源电价水平(</w:t>
      </w:r>
      <w:bookmarkStart w:id="5" w:name="OLE_LINK15"/>
      <w:r>
        <w:rPr>
          <w:rFonts w:hint="eastAsia" w:ascii="方正仿宋_GBK" w:hAnsi="方正仿宋_GBK" w:eastAsia="方正仿宋_GBK" w:cs="方正仿宋_GBK"/>
          <w:b w:val="0"/>
          <w:bCs w:val="0"/>
          <w:color w:val="auto"/>
          <w:sz w:val="32"/>
          <w:szCs w:val="32"/>
          <w:highlight w:val="none"/>
          <w:lang w:eastAsia="zh-CN"/>
        </w:rPr>
        <w:t>以下简称“机制电价”</w:t>
      </w:r>
      <w:bookmarkEnd w:id="5"/>
      <w:r>
        <w:rPr>
          <w:rFonts w:hint="eastAsia" w:ascii="方正仿宋_GBK" w:hAnsi="方正仿宋_GBK" w:eastAsia="方正仿宋_GBK" w:cs="方正仿宋_GBK"/>
          <w:b w:val="0"/>
          <w:bCs w:val="0"/>
          <w:color w:val="auto"/>
          <w:sz w:val="32"/>
          <w:szCs w:val="32"/>
          <w:highlight w:val="none"/>
          <w:lang w:eastAsia="zh-CN"/>
        </w:rPr>
        <w:t>)、电量规模（以下简称“机制电量”）、执行期限等由省发展改革委会同省能源局、山西能源监管办明确。对纳入机制的电量，市场交易均价低于或高于机制电价的部分，由电网企业按规定开展差价结算，结算费用纳入系统运行费用，由全体工商业用户用电量分摊或分享（含企业自备电厂自发自用电量）</w:t>
      </w:r>
      <w:r>
        <w:rPr>
          <w:rFonts w:hint="eastAsia" w:ascii="方正仿宋_GBK" w:hAnsi="方正仿宋_GBK" w:eastAsia="方正仿宋_GBK" w:cs="方正仿宋_GBK"/>
          <w:b w:val="0"/>
          <w:bCs w:val="0"/>
          <w:color w:val="auto"/>
          <w:sz w:val="32"/>
          <w:szCs w:val="32"/>
          <w:highlight w:val="none"/>
          <w:lang w:val="en-US" w:eastAsia="zh-CN"/>
        </w:rPr>
        <w:t>,现阶段暂不开展其他形式的差价结算</w:t>
      </w:r>
      <w:r>
        <w:rPr>
          <w:rFonts w:hint="eastAsia" w:ascii="方正仿宋_GBK" w:hAnsi="方正仿宋_GBK" w:eastAsia="方正仿宋_GBK" w:cs="方正仿宋_GBK"/>
          <w:b w:val="0"/>
          <w:bCs w:val="0"/>
          <w:color w:val="auto"/>
          <w:sz w:val="32"/>
          <w:szCs w:val="32"/>
          <w:highlight w:val="none"/>
          <w:lang w:eastAsia="zh-CN"/>
        </w:rPr>
        <w:t>。市场交易均价原则上按照月度发电侧实时市场同类项目（区分风电、光伏发电项目）</w:t>
      </w:r>
      <w:r>
        <w:rPr>
          <w:rFonts w:hint="eastAsia" w:ascii="方正仿宋_GBK" w:hAnsi="方正仿宋_GBK" w:eastAsia="方正仿宋_GBK" w:cs="方正仿宋_GBK"/>
          <w:b w:val="0"/>
          <w:bCs w:val="0"/>
          <w:color w:val="auto"/>
          <w:sz w:val="32"/>
          <w:szCs w:val="32"/>
          <w:highlight w:val="none"/>
          <w:lang w:val="en-US" w:eastAsia="zh-CN"/>
        </w:rPr>
        <w:t>加权</w:t>
      </w:r>
      <w:r>
        <w:rPr>
          <w:rFonts w:hint="eastAsia" w:ascii="方正仿宋_GBK" w:hAnsi="方正仿宋_GBK" w:eastAsia="方正仿宋_GBK" w:cs="方正仿宋_GBK"/>
          <w:b w:val="0"/>
          <w:bCs w:val="0"/>
          <w:color w:val="auto"/>
          <w:sz w:val="32"/>
          <w:szCs w:val="32"/>
          <w:highlight w:val="none"/>
          <w:lang w:eastAsia="zh-CN"/>
        </w:rPr>
        <w:t>平均价格（实施结算限价前所有时点和所有节点电价）确定。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eastAsia="zh-CN"/>
        </w:rPr>
        <w:t>2025年6月1日以前按照核准</w:t>
      </w:r>
      <w:bookmarkStart w:id="6" w:name="OLE_LINK17"/>
      <w:r>
        <w:rPr>
          <w:rFonts w:hint="eastAsia" w:ascii="方正仿宋_GBK" w:hAnsi="方正仿宋_GBK" w:eastAsia="方正仿宋_GBK" w:cs="方正仿宋_GBK"/>
          <w:b w:val="0"/>
          <w:bCs w:val="0"/>
          <w:color w:val="auto"/>
          <w:sz w:val="32"/>
          <w:szCs w:val="32"/>
          <w:highlight w:val="none"/>
          <w:lang w:eastAsia="zh-CN"/>
        </w:rPr>
        <w:t>（备案）</w:t>
      </w:r>
      <w:bookmarkEnd w:id="6"/>
      <w:r>
        <w:rPr>
          <w:rFonts w:hint="eastAsia" w:ascii="方正仿宋_GBK" w:hAnsi="方正仿宋_GBK" w:eastAsia="方正仿宋_GBK" w:cs="方正仿宋_GBK"/>
          <w:b w:val="0"/>
          <w:bCs w:val="0"/>
          <w:color w:val="auto"/>
          <w:sz w:val="32"/>
          <w:szCs w:val="32"/>
          <w:highlight w:val="none"/>
          <w:lang w:eastAsia="zh-CN"/>
        </w:rPr>
        <w:t>容量投产（全容量并网，下同）的新能源项目为存量项目。2025年6月1日（含）起按照核准</w:t>
      </w:r>
      <w:bookmarkStart w:id="7" w:name="OLE_LINK18"/>
      <w:r>
        <w:rPr>
          <w:rFonts w:hint="eastAsia" w:ascii="方正仿宋_GBK" w:hAnsi="方正仿宋_GBK" w:eastAsia="方正仿宋_GBK" w:cs="方正仿宋_GBK"/>
          <w:b w:val="0"/>
          <w:bCs w:val="0"/>
          <w:color w:val="auto"/>
          <w:sz w:val="32"/>
          <w:szCs w:val="32"/>
          <w:highlight w:val="none"/>
          <w:lang w:eastAsia="zh-CN"/>
        </w:rPr>
        <w:t>（备案）</w:t>
      </w:r>
      <w:bookmarkEnd w:id="7"/>
      <w:r>
        <w:rPr>
          <w:rFonts w:hint="eastAsia" w:ascii="方正仿宋_GBK" w:hAnsi="方正仿宋_GBK" w:eastAsia="方正仿宋_GBK" w:cs="方正仿宋_GBK"/>
          <w:b w:val="0"/>
          <w:bCs w:val="0"/>
          <w:color w:val="auto"/>
          <w:sz w:val="32"/>
          <w:szCs w:val="32"/>
          <w:highlight w:val="none"/>
          <w:lang w:eastAsia="zh-CN"/>
        </w:rPr>
        <w:t>容量投产的新能源项目为增量项目。</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2"/>
        <w:rPr>
          <w:rFonts w:hint="eastAsia" w:ascii="方正仿宋_GBK" w:hAnsi="方正仿宋_GBK" w:eastAsia="方正仿宋_GBK" w:cs="方正仿宋_GBK"/>
          <w:b w:val="0"/>
          <w:bCs w:val="0"/>
          <w:color w:val="auto"/>
          <w:sz w:val="32"/>
          <w:szCs w:val="32"/>
          <w:highlight w:val="none"/>
          <w:lang w:val="en-US" w:eastAsia="zh-CN"/>
        </w:rPr>
      </w:pPr>
      <w:bookmarkStart w:id="8" w:name="OLE_LINK2"/>
      <w:r>
        <w:rPr>
          <w:rFonts w:hint="eastAsia" w:ascii="方正仿宋_GBK" w:hAnsi="方正仿宋_GBK" w:eastAsia="方正仿宋_GBK" w:cs="方正仿宋_GBK"/>
          <w:b/>
          <w:bCs/>
          <w:color w:val="auto"/>
          <w:sz w:val="32"/>
          <w:szCs w:val="32"/>
          <w:highlight w:val="none"/>
          <w:lang w:eastAsia="zh-CN"/>
        </w:rPr>
        <w:t>机制电量。</w:t>
      </w:r>
      <w:r>
        <w:rPr>
          <w:rFonts w:hint="eastAsia" w:ascii="方正仿宋_GBK" w:hAnsi="方正仿宋_GBK" w:eastAsia="方正仿宋_GBK" w:cs="方正仿宋_GBK"/>
          <w:b w:val="0"/>
          <w:bCs w:val="0"/>
          <w:color w:val="auto"/>
          <w:sz w:val="32"/>
          <w:szCs w:val="32"/>
          <w:highlight w:val="none"/>
          <w:lang w:eastAsia="zh-CN"/>
        </w:rPr>
        <w:t>存量项目</w:t>
      </w:r>
      <w:bookmarkEnd w:id="8"/>
      <w:bookmarkStart w:id="9" w:name="OLE_LINK16"/>
      <w:r>
        <w:rPr>
          <w:rFonts w:hint="eastAsia" w:ascii="方正仿宋_GBK" w:hAnsi="方正仿宋_GBK" w:eastAsia="方正仿宋_GBK" w:cs="方正仿宋_GBK"/>
          <w:b w:val="0"/>
          <w:bCs w:val="0"/>
          <w:color w:val="auto"/>
          <w:sz w:val="32"/>
          <w:szCs w:val="32"/>
          <w:highlight w:val="none"/>
          <w:lang w:eastAsia="zh-CN"/>
        </w:rPr>
        <w:t>机制电量规模，</w:t>
      </w:r>
      <w:bookmarkEnd w:id="9"/>
      <w:r>
        <w:rPr>
          <w:rFonts w:hint="eastAsia" w:ascii="方正仿宋_GBK" w:hAnsi="方正仿宋_GBK" w:eastAsia="方正仿宋_GBK" w:cs="方正仿宋_GBK"/>
          <w:b w:val="0"/>
          <w:bCs w:val="0"/>
          <w:color w:val="auto"/>
          <w:sz w:val="32"/>
          <w:szCs w:val="32"/>
          <w:highlight w:val="none"/>
          <w:lang w:eastAsia="zh-CN"/>
        </w:rPr>
        <w:t>与现行具有保障性质的相关电量规模政策衔接，按照具体项目核定机制电量比例（机制电量占上网电量的比例），新能源项目可在核定值范围内每年自主确定机制电量比例，但不得高于上一年。增量项目机制电量规模，与现有新能源非市场化电量比例适当衔接，考虑用户承受能力、国家下达的年度非水电可再生能源电力消纳责任权重完成情况，以及电力市场建设等因素确定，</w:t>
      </w:r>
      <w:r>
        <w:rPr>
          <w:rFonts w:hint="eastAsia" w:ascii="方正仿宋_GBK" w:hAnsi="方正仿宋_GBK" w:eastAsia="方正仿宋_GBK" w:cs="方正仿宋_GBK"/>
          <w:b w:val="0"/>
          <w:bCs w:val="0"/>
          <w:color w:val="auto"/>
          <w:sz w:val="32"/>
          <w:szCs w:val="32"/>
          <w:highlight w:val="none"/>
          <w:lang w:val="en-US" w:eastAsia="zh-CN"/>
        </w:rPr>
        <w:t>初期分风电和光伏两种类型分别确定，具体项目的机制电量通过竞价确定。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2"/>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机制电价。</w:t>
      </w:r>
      <w:r>
        <w:rPr>
          <w:rFonts w:hint="eastAsia" w:ascii="方正仿宋_GBK" w:hAnsi="方正仿宋_GBK" w:eastAsia="方正仿宋_GBK" w:cs="方正仿宋_GBK"/>
          <w:b w:val="0"/>
          <w:bCs w:val="0"/>
          <w:color w:val="auto"/>
          <w:sz w:val="32"/>
          <w:szCs w:val="32"/>
          <w:highlight w:val="none"/>
          <w:lang w:eastAsia="zh-CN"/>
        </w:rPr>
        <w:t>存量项目</w:t>
      </w:r>
      <w:r>
        <w:rPr>
          <w:rFonts w:hint="eastAsia" w:ascii="方正仿宋_GBK" w:hAnsi="方正仿宋_GBK" w:eastAsia="方正仿宋_GBK" w:cs="方正仿宋_GBK"/>
          <w:b w:val="0"/>
          <w:bCs w:val="0"/>
          <w:color w:val="auto"/>
          <w:sz w:val="32"/>
          <w:szCs w:val="32"/>
          <w:highlight w:val="none"/>
          <w:lang w:val="en-US" w:eastAsia="zh-CN"/>
        </w:rPr>
        <w:t>与现行价格政策衔接，机制电价水平按不高于现行燃煤发电基准价格确定</w:t>
      </w:r>
      <w:r>
        <w:rPr>
          <w:rFonts w:hint="eastAsia" w:ascii="方正仿宋_GBK" w:hAnsi="方正仿宋_GBK" w:eastAsia="方正仿宋_GBK" w:cs="方正仿宋_GBK"/>
          <w:b w:val="0"/>
          <w:bCs w:val="0"/>
          <w:color w:val="auto"/>
          <w:sz w:val="32"/>
          <w:szCs w:val="32"/>
          <w:highlight w:val="none"/>
          <w:lang w:eastAsia="zh-CN"/>
        </w:rPr>
        <w:t>。增量项目机制电价水平通过竞价确定，每年组织已投产和未来</w:t>
      </w:r>
      <w:r>
        <w:rPr>
          <w:rFonts w:hint="eastAsia" w:ascii="方正仿宋_GBK" w:hAnsi="方正仿宋_GBK" w:eastAsia="方正仿宋_GBK" w:cs="方正仿宋_GBK"/>
          <w:b w:val="0"/>
          <w:bCs w:val="0"/>
          <w:color w:val="auto"/>
          <w:sz w:val="32"/>
          <w:szCs w:val="32"/>
          <w:highlight w:val="none"/>
          <w:lang w:val="en-US" w:eastAsia="zh-CN"/>
        </w:rPr>
        <w:t>12个月内计划投产、且未纳入过机制执行范围的项目自愿参与竞价形成，</w:t>
      </w:r>
      <w:bookmarkStart w:id="10" w:name="OLE_LINK12"/>
      <w:r>
        <w:rPr>
          <w:rFonts w:hint="eastAsia" w:ascii="方正仿宋_GBK" w:hAnsi="方正仿宋_GBK" w:eastAsia="方正仿宋_GBK" w:cs="方正仿宋_GBK"/>
          <w:b w:val="0"/>
          <w:bCs w:val="0"/>
          <w:color w:val="auto"/>
          <w:sz w:val="32"/>
          <w:szCs w:val="32"/>
          <w:highlight w:val="none"/>
          <w:lang w:val="en-US" w:eastAsia="zh-CN"/>
        </w:rPr>
        <w:t>初期分风电和光伏发电两种类型组织</w:t>
      </w:r>
      <w:bookmarkEnd w:id="10"/>
      <w:r>
        <w:rPr>
          <w:rFonts w:hint="eastAsia" w:ascii="方正仿宋_GBK" w:hAnsi="方正仿宋_GBK" w:eastAsia="方正仿宋_GBK" w:cs="方正仿宋_GBK"/>
          <w:b w:val="0"/>
          <w:bCs w:val="0"/>
          <w:color w:val="auto"/>
          <w:sz w:val="32"/>
          <w:szCs w:val="32"/>
          <w:highlight w:val="none"/>
          <w:lang w:val="en-US" w:eastAsia="zh-CN"/>
        </w:rPr>
        <w:t>，不具备充分竞争情况下，合并组织。</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2"/>
        <w:rPr>
          <w:rFonts w:hint="eastAsia" w:ascii="CESI仿宋-GB2312" w:hAnsi="CESI仿宋-GB2312" w:eastAsia="CESI仿宋-GB2312" w:cs="CESI仿宋-GB2312"/>
          <w:b w:val="0"/>
          <w:bCs w:val="0"/>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执行期限。</w:t>
      </w:r>
      <w:r>
        <w:rPr>
          <w:rFonts w:hint="eastAsia" w:ascii="方正仿宋_GBK" w:hAnsi="方正仿宋_GBK" w:eastAsia="方正仿宋_GBK" w:cs="方正仿宋_GBK"/>
          <w:b w:val="0"/>
          <w:bCs w:val="0"/>
          <w:color w:val="auto"/>
          <w:sz w:val="32"/>
          <w:szCs w:val="32"/>
          <w:highlight w:val="none"/>
          <w:lang w:eastAsia="zh-CN"/>
        </w:rPr>
        <w:t>存量项目按项目剩余全生命周期合理利用小时数对应年份</w:t>
      </w:r>
      <w:r>
        <w:rPr>
          <w:rFonts w:hint="eastAsia" w:ascii="方正仿宋_GBK" w:hAnsi="方正仿宋_GBK" w:eastAsia="方正仿宋_GBK" w:cs="方正仿宋_GBK"/>
          <w:b w:val="0"/>
          <w:bCs w:val="0"/>
          <w:color w:val="auto"/>
          <w:sz w:val="32"/>
          <w:szCs w:val="32"/>
          <w:highlight w:val="none"/>
          <w:lang w:val="en-US" w:eastAsia="zh-CN"/>
        </w:rPr>
        <w:t>（具体到月）</w:t>
      </w:r>
      <w:r>
        <w:rPr>
          <w:rFonts w:hint="eastAsia" w:ascii="方正仿宋_GBK" w:hAnsi="方正仿宋_GBK" w:eastAsia="方正仿宋_GBK" w:cs="方正仿宋_GBK"/>
          <w:b w:val="0"/>
          <w:bCs w:val="0"/>
          <w:color w:val="auto"/>
          <w:sz w:val="32"/>
          <w:szCs w:val="32"/>
          <w:highlight w:val="none"/>
          <w:lang w:eastAsia="zh-CN"/>
        </w:rPr>
        <w:t>与投产满20年对应年份</w:t>
      </w:r>
      <w:r>
        <w:rPr>
          <w:rFonts w:hint="eastAsia" w:ascii="方正仿宋_GBK" w:hAnsi="方正仿宋_GBK" w:eastAsia="方正仿宋_GBK" w:cs="方正仿宋_GBK"/>
          <w:b w:val="0"/>
          <w:bCs w:val="0"/>
          <w:color w:val="auto"/>
          <w:sz w:val="32"/>
          <w:szCs w:val="32"/>
          <w:highlight w:val="none"/>
          <w:lang w:val="en-US" w:eastAsia="zh-CN"/>
        </w:rPr>
        <w:t>（具体到月）</w:t>
      </w:r>
      <w:r>
        <w:rPr>
          <w:rFonts w:hint="eastAsia" w:ascii="方正仿宋_GBK" w:hAnsi="方正仿宋_GBK" w:eastAsia="方正仿宋_GBK" w:cs="方正仿宋_GBK"/>
          <w:b w:val="0"/>
          <w:bCs w:val="0"/>
          <w:color w:val="auto"/>
          <w:sz w:val="32"/>
          <w:szCs w:val="32"/>
          <w:highlight w:val="none"/>
          <w:lang w:eastAsia="zh-CN"/>
        </w:rPr>
        <w:t>较早者确定。增量项目综合考虑同类项目回收初始投资的平均期限等因素确定，如遇重大政策</w:t>
      </w:r>
      <w:r>
        <w:rPr>
          <w:rFonts w:hint="eastAsia" w:ascii="方正仿宋_GBK" w:hAnsi="方正仿宋_GBK" w:eastAsia="方正仿宋_GBK" w:cs="方正仿宋_GBK"/>
          <w:b w:val="0"/>
          <w:bCs w:val="0"/>
          <w:color w:val="auto"/>
          <w:sz w:val="32"/>
          <w:szCs w:val="32"/>
          <w:highlight w:val="none"/>
          <w:lang w:val="en-US" w:eastAsia="zh-CN"/>
        </w:rPr>
        <w:t>变化</w:t>
      </w:r>
      <w:r>
        <w:rPr>
          <w:rFonts w:hint="eastAsia" w:ascii="方正仿宋_GBK" w:hAnsi="方正仿宋_GBK" w:eastAsia="方正仿宋_GBK" w:cs="方正仿宋_GBK"/>
          <w:b w:val="0"/>
          <w:bCs w:val="0"/>
          <w:color w:val="auto"/>
          <w:sz w:val="32"/>
          <w:szCs w:val="32"/>
          <w:highlight w:val="none"/>
          <w:lang w:eastAsia="zh-CN"/>
        </w:rPr>
        <w:t>或行业成本变化适时调整。</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2"/>
        <w:rPr>
          <w:rFonts w:hint="eastAsia" w:ascii="方正仿宋_GBK" w:hAnsi="方正仿宋_GBK" w:eastAsia="方正仿宋_GBK" w:cs="方正仿宋_GBK"/>
          <w:b w:val="0"/>
          <w:bCs w:val="0"/>
          <w:color w:val="auto"/>
          <w:sz w:val="32"/>
          <w:szCs w:val="32"/>
          <w:highlight w:val="none"/>
          <w:lang w:eastAsia="zh-CN"/>
        </w:rPr>
      </w:pPr>
      <w:bookmarkStart w:id="11" w:name="OLE_LINK6"/>
      <w:r>
        <w:rPr>
          <w:rFonts w:hint="eastAsia" w:ascii="方正楷体_GBK" w:hAnsi="方正楷体_GBK" w:eastAsia="方正楷体_GBK" w:cs="方正楷体_GBK"/>
          <w:b/>
          <w:bCs/>
          <w:color w:val="auto"/>
          <w:sz w:val="32"/>
          <w:szCs w:val="32"/>
          <w:highlight w:val="none"/>
          <w:lang w:eastAsia="zh-CN"/>
        </w:rPr>
        <w:t>（三）建立增量项目机制电价竞价制度。</w:t>
      </w:r>
      <w:bookmarkEnd w:id="11"/>
      <w:r>
        <w:rPr>
          <w:rFonts w:hint="eastAsia" w:ascii="方正仿宋_GBK" w:hAnsi="方正仿宋_GBK" w:eastAsia="方正仿宋_GBK" w:cs="方正仿宋_GBK"/>
          <w:b w:val="0"/>
          <w:bCs w:val="0"/>
          <w:color w:val="auto"/>
          <w:sz w:val="32"/>
          <w:szCs w:val="32"/>
          <w:highlight w:val="none"/>
          <w:lang w:eastAsia="zh-CN"/>
        </w:rPr>
        <w:t>增量项目竞价工作由省发展改革委会同省能源局</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eastAsia="zh-CN"/>
        </w:rPr>
        <w:t>山西能源监管办牵头组织，省电力公司负责具体组织实施。每年增量项目竞价工作原则上于</w:t>
      </w:r>
      <w:r>
        <w:rPr>
          <w:rFonts w:hint="eastAsia" w:ascii="方正仿宋_GBK" w:hAnsi="方正仿宋_GBK" w:eastAsia="方正仿宋_GBK" w:cs="方正仿宋_GBK"/>
          <w:b w:val="0"/>
          <w:bCs w:val="0"/>
          <w:color w:val="auto"/>
          <w:sz w:val="32"/>
          <w:szCs w:val="32"/>
          <w:highlight w:val="none"/>
          <w:lang w:val="en-US" w:eastAsia="zh-CN"/>
        </w:rPr>
        <w:t>10月底前</w:t>
      </w:r>
      <w:r>
        <w:rPr>
          <w:rFonts w:hint="eastAsia" w:ascii="方正仿宋_GBK" w:hAnsi="方正仿宋_GBK" w:eastAsia="方正仿宋_GBK" w:cs="方正仿宋_GBK"/>
          <w:b w:val="0"/>
          <w:bCs w:val="0"/>
          <w:color w:val="auto"/>
          <w:sz w:val="32"/>
          <w:szCs w:val="32"/>
          <w:highlight w:val="none"/>
          <w:lang w:eastAsia="zh-CN"/>
        </w:rPr>
        <w:t>组织开展。其中，2025年</w:t>
      </w:r>
      <w:r>
        <w:rPr>
          <w:rFonts w:hint="eastAsia" w:ascii="方正仿宋_GBK" w:hAnsi="方正仿宋_GBK" w:eastAsia="方正仿宋_GBK" w:cs="方正仿宋_GBK"/>
          <w:b w:val="0"/>
          <w:bCs w:val="0"/>
          <w:color w:val="auto"/>
          <w:sz w:val="32"/>
          <w:szCs w:val="32"/>
          <w:highlight w:val="none"/>
          <w:lang w:val="en-US" w:eastAsia="zh-CN"/>
        </w:rPr>
        <w:t>6</w:t>
      </w:r>
      <w:r>
        <w:rPr>
          <w:rFonts w:hint="eastAsia" w:ascii="方正仿宋_GBK" w:hAnsi="方正仿宋_GBK" w:eastAsia="方正仿宋_GBK" w:cs="方正仿宋_GBK"/>
          <w:b w:val="0"/>
          <w:bCs w:val="0"/>
          <w:color w:val="auto"/>
          <w:sz w:val="32"/>
          <w:szCs w:val="32"/>
          <w:highlight w:val="none"/>
          <w:lang w:eastAsia="zh-CN"/>
        </w:rPr>
        <w:t>月</w:t>
      </w:r>
      <w:r>
        <w:rPr>
          <w:rFonts w:hint="eastAsia" w:ascii="方正仿宋_GBK" w:hAnsi="方正仿宋_GBK" w:eastAsia="方正仿宋_GBK" w:cs="方正仿宋_GBK"/>
          <w:b w:val="0"/>
          <w:bCs w:val="0"/>
          <w:color w:val="auto"/>
          <w:sz w:val="32"/>
          <w:szCs w:val="32"/>
          <w:highlight w:val="none"/>
          <w:lang w:val="en-US" w:eastAsia="zh-CN"/>
        </w:rPr>
        <w:t>1日</w:t>
      </w:r>
      <w:r>
        <w:rPr>
          <w:rFonts w:hint="eastAsia" w:ascii="方正仿宋_GBK" w:hAnsi="方正仿宋_GBK" w:eastAsia="方正仿宋_GBK" w:cs="方正仿宋_GBK"/>
          <w:b w:val="0"/>
          <w:bCs w:val="0"/>
          <w:color w:val="auto"/>
          <w:sz w:val="32"/>
          <w:szCs w:val="32"/>
          <w:highlight w:val="none"/>
          <w:lang w:eastAsia="zh-CN"/>
        </w:rPr>
        <w:t>至12月31日期间增量项目竞价工作视情况组织开展</w:t>
      </w:r>
      <w:r>
        <w:rPr>
          <w:rFonts w:hint="eastAsia" w:ascii="方正仿宋_GBK" w:hAnsi="方正仿宋_GBK" w:eastAsia="方正仿宋_GBK" w:cs="方正仿宋_GBK"/>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竞价采用边际出清方式确定出清价格，根据新能源项目申报电量、申报价格，按申报价格由低到高排序，申报价格相同时，按申报时间优先排序，</w:t>
      </w:r>
      <w:r>
        <w:rPr>
          <w:rFonts w:hint="eastAsia" w:ascii="方正仿宋_GBK" w:hAnsi="方正仿宋_GBK" w:eastAsia="方正仿宋_GBK" w:cs="方正仿宋_GBK"/>
          <w:b w:val="0"/>
          <w:bCs w:val="0"/>
          <w:color w:val="auto"/>
          <w:sz w:val="32"/>
          <w:szCs w:val="32"/>
          <w:highlight w:val="none"/>
          <w:lang w:val="en-US" w:eastAsia="zh-CN"/>
        </w:rPr>
        <w:t>直至申报电量满足竞价电量总规模。</w:t>
      </w:r>
      <w:r>
        <w:rPr>
          <w:rFonts w:hint="eastAsia" w:ascii="方正仿宋_GBK" w:hAnsi="方正仿宋_GBK" w:eastAsia="方正仿宋_GBK" w:cs="方正仿宋_GBK"/>
          <w:b w:val="0"/>
          <w:bCs w:val="0"/>
          <w:color w:val="auto"/>
          <w:sz w:val="32"/>
          <w:szCs w:val="32"/>
          <w:highlight w:val="none"/>
          <w:lang w:eastAsia="zh-CN"/>
        </w:rPr>
        <w:t>最后</w:t>
      </w:r>
      <w:r>
        <w:rPr>
          <w:rFonts w:hint="eastAsia" w:ascii="方正仿宋_GBK" w:hAnsi="方正仿宋_GBK" w:eastAsia="方正仿宋_GBK" w:cs="方正仿宋_GBK"/>
          <w:b w:val="0"/>
          <w:bCs w:val="0"/>
          <w:color w:val="auto"/>
          <w:sz w:val="32"/>
          <w:szCs w:val="32"/>
          <w:highlight w:val="none"/>
          <w:lang w:val="en-US" w:eastAsia="zh-CN"/>
        </w:rPr>
        <w:t>入选</w:t>
      </w:r>
      <w:r>
        <w:rPr>
          <w:rFonts w:hint="eastAsia" w:ascii="方正仿宋_GBK" w:hAnsi="方正仿宋_GBK" w:eastAsia="方正仿宋_GBK" w:cs="方正仿宋_GBK"/>
          <w:b w:val="0"/>
          <w:bCs w:val="0"/>
          <w:color w:val="auto"/>
          <w:sz w:val="32"/>
          <w:szCs w:val="32"/>
          <w:highlight w:val="none"/>
          <w:lang w:eastAsia="zh-CN"/>
        </w:rPr>
        <w:t>项目申报电价即为</w:t>
      </w:r>
      <w:r>
        <w:rPr>
          <w:rFonts w:hint="eastAsia" w:ascii="方正仿宋_GBK" w:hAnsi="方正仿宋_GBK" w:eastAsia="方正仿宋_GBK" w:cs="方正仿宋_GBK"/>
          <w:b w:val="0"/>
          <w:bCs w:val="0"/>
          <w:color w:val="auto"/>
          <w:sz w:val="32"/>
          <w:szCs w:val="32"/>
          <w:highlight w:val="none"/>
          <w:lang w:val="en-US" w:eastAsia="zh-CN"/>
        </w:rPr>
        <w:t>当年所有入选项目</w:t>
      </w:r>
      <w:r>
        <w:rPr>
          <w:rFonts w:hint="eastAsia" w:ascii="方正仿宋_GBK" w:hAnsi="方正仿宋_GBK" w:eastAsia="方正仿宋_GBK" w:cs="方正仿宋_GBK"/>
          <w:b w:val="0"/>
          <w:bCs w:val="0"/>
          <w:color w:val="auto"/>
          <w:sz w:val="32"/>
          <w:szCs w:val="32"/>
          <w:highlight w:val="none"/>
          <w:lang w:eastAsia="zh-CN"/>
        </w:rPr>
        <w:t>的机制电价，但不得高于竞价上限，其入选电量不足</w:t>
      </w:r>
      <w:r>
        <w:rPr>
          <w:rFonts w:hint="eastAsia" w:ascii="方正仿宋_GBK" w:hAnsi="方正仿宋_GBK" w:eastAsia="方正仿宋_GBK" w:cs="方正仿宋_GBK"/>
          <w:b w:val="0"/>
          <w:bCs w:val="0"/>
          <w:color w:val="auto"/>
          <w:sz w:val="32"/>
          <w:szCs w:val="32"/>
          <w:highlight w:val="none"/>
          <w:lang w:val="en-US" w:eastAsia="zh-CN"/>
        </w:rPr>
        <w:t>申报电量的按申报电量全额成交</w:t>
      </w:r>
      <w:r>
        <w:rPr>
          <w:rFonts w:hint="eastAsia" w:ascii="方正仿宋_GBK" w:hAnsi="方正仿宋_GBK" w:eastAsia="方正仿宋_GBK" w:cs="方正仿宋_GBK"/>
          <w:b w:val="0"/>
          <w:bCs w:val="0"/>
          <w:color w:val="auto"/>
          <w:sz w:val="32"/>
          <w:szCs w:val="32"/>
          <w:highlight w:val="none"/>
          <w:lang w:eastAsia="zh-CN"/>
        </w:rPr>
        <w:t>。竞价上、下限由省发展改革委综合考虑合理成本收益、绿色价值、电力市场供需形势、用户承受能力、引导有序竞争等因素确定并适时调整。为确保竞争有效，机制电量申报总规模与核定总规模比率原则上不低于</w:t>
      </w:r>
      <w:r>
        <w:rPr>
          <w:rFonts w:hint="eastAsia" w:ascii="方正仿宋_GBK" w:hAnsi="方正仿宋_GBK" w:eastAsia="方正仿宋_GBK" w:cs="方正仿宋_GBK"/>
          <w:b w:val="0"/>
          <w:bCs w:val="0"/>
          <w:color w:val="auto"/>
          <w:sz w:val="32"/>
          <w:szCs w:val="32"/>
          <w:highlight w:val="none"/>
          <w:lang w:val="en-US" w:eastAsia="zh-CN"/>
        </w:rPr>
        <w:t>1.2，否则相应调减核定机制电量规模直至满足比率要求。</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鼓励分布式</w:t>
      </w:r>
      <w:r>
        <w:rPr>
          <w:rFonts w:hint="eastAsia" w:ascii="方正仿宋_GBK" w:hAnsi="方正仿宋_GBK" w:eastAsia="方正仿宋_GBK" w:cs="方正仿宋_GBK"/>
          <w:b w:val="0"/>
          <w:bCs w:val="0"/>
          <w:color w:val="auto"/>
          <w:sz w:val="32"/>
          <w:szCs w:val="32"/>
          <w:highlight w:val="none"/>
          <w:lang w:val="en-US" w:eastAsia="zh-CN"/>
        </w:rPr>
        <w:t>光伏</w:t>
      </w:r>
      <w:r>
        <w:rPr>
          <w:rFonts w:hint="eastAsia" w:ascii="方正仿宋_GBK" w:hAnsi="方正仿宋_GBK" w:eastAsia="方正仿宋_GBK" w:cs="方正仿宋_GBK"/>
          <w:b w:val="0"/>
          <w:bCs w:val="0"/>
          <w:color w:val="auto"/>
          <w:sz w:val="32"/>
          <w:szCs w:val="32"/>
          <w:highlight w:val="none"/>
          <w:lang w:eastAsia="zh-CN"/>
        </w:rPr>
        <w:t>、分散式风电自行参与竞价，也</w:t>
      </w:r>
      <w:r>
        <w:rPr>
          <w:rFonts w:hint="eastAsia" w:ascii="方正仿宋_GBK" w:hAnsi="方正仿宋_GBK" w:eastAsia="方正仿宋_GBK" w:cs="方正仿宋_GBK"/>
          <w:b w:val="0"/>
          <w:bCs w:val="0"/>
          <w:color w:val="auto"/>
          <w:sz w:val="32"/>
          <w:szCs w:val="32"/>
          <w:highlight w:val="none"/>
          <w:lang w:val="en-US" w:eastAsia="zh-CN"/>
        </w:rPr>
        <w:t>可</w:t>
      </w:r>
      <w:r>
        <w:rPr>
          <w:rFonts w:hint="eastAsia" w:ascii="方正仿宋_GBK" w:hAnsi="方正仿宋_GBK" w:eastAsia="方正仿宋_GBK" w:cs="方正仿宋_GBK"/>
          <w:b w:val="0"/>
          <w:bCs w:val="0"/>
          <w:color w:val="auto"/>
          <w:sz w:val="32"/>
          <w:szCs w:val="32"/>
          <w:highlight w:val="none"/>
          <w:lang w:eastAsia="zh-CN"/>
        </w:rPr>
        <w:t>聚合后统一参与竞价。当年未参与竞价</w:t>
      </w:r>
      <w:r>
        <w:rPr>
          <w:rFonts w:hint="eastAsia" w:ascii="方正仿宋_GBK" w:hAnsi="方正仿宋_GBK" w:eastAsia="方正仿宋_GBK" w:cs="方正仿宋_GBK"/>
          <w:b w:val="0"/>
          <w:bCs w:val="0"/>
          <w:color w:val="auto"/>
          <w:sz w:val="32"/>
          <w:szCs w:val="32"/>
          <w:highlight w:val="none"/>
          <w:lang w:val="en-US" w:eastAsia="zh-CN"/>
        </w:rPr>
        <w:t>以及参与竞价但未入选的</w:t>
      </w:r>
      <w:r>
        <w:rPr>
          <w:rFonts w:hint="eastAsia" w:ascii="方正仿宋_GBK" w:hAnsi="方正仿宋_GBK" w:eastAsia="方正仿宋_GBK" w:cs="方正仿宋_GBK"/>
          <w:b w:val="0"/>
          <w:bCs w:val="0"/>
          <w:color w:val="auto"/>
          <w:sz w:val="32"/>
          <w:szCs w:val="32"/>
          <w:highlight w:val="none"/>
          <w:lang w:eastAsia="zh-CN"/>
        </w:rPr>
        <w:t>项目，可顺延至后续年度参与。期间，上网电价全部由市场形成，不参与机制电价结算。</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2"/>
        <w:rPr>
          <w:rFonts w:hint="eastAsia" w:ascii="方正仿宋_GBK" w:hAnsi="方正仿宋_GBK" w:eastAsia="方正仿宋_GBK" w:cs="方正仿宋_GBK"/>
          <w:b w:val="0"/>
          <w:bCs w:val="0"/>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（四）建立</w:t>
      </w:r>
      <w:bookmarkStart w:id="12" w:name="OLE_LINK7"/>
      <w:r>
        <w:rPr>
          <w:rFonts w:hint="eastAsia" w:ascii="方正楷体_GBK" w:hAnsi="方正楷体_GBK" w:eastAsia="方正楷体_GBK" w:cs="方正楷体_GBK"/>
          <w:b/>
          <w:bCs/>
          <w:color w:val="auto"/>
          <w:sz w:val="32"/>
          <w:szCs w:val="32"/>
          <w:highlight w:val="none"/>
          <w:lang w:eastAsia="zh-CN"/>
        </w:rPr>
        <w:t>增量项目</w:t>
      </w:r>
      <w:bookmarkEnd w:id="12"/>
      <w:r>
        <w:rPr>
          <w:rFonts w:hint="eastAsia" w:ascii="方正楷体_GBK" w:hAnsi="方正楷体_GBK" w:eastAsia="方正楷体_GBK" w:cs="方正楷体_GBK"/>
          <w:b/>
          <w:bCs/>
          <w:color w:val="auto"/>
          <w:sz w:val="32"/>
          <w:szCs w:val="32"/>
          <w:highlight w:val="none"/>
          <w:lang w:eastAsia="zh-CN"/>
        </w:rPr>
        <w:t>竞价约束机制。</w:t>
      </w:r>
      <w:r>
        <w:rPr>
          <w:rFonts w:hint="eastAsia" w:ascii="方正仿宋_GBK" w:hAnsi="方正仿宋_GBK" w:eastAsia="方正仿宋_GBK" w:cs="方正仿宋_GBK"/>
          <w:b w:val="0"/>
          <w:bCs w:val="0"/>
          <w:color w:val="auto"/>
          <w:sz w:val="32"/>
          <w:szCs w:val="32"/>
          <w:highlight w:val="none"/>
          <w:lang w:eastAsia="zh-CN"/>
        </w:rPr>
        <w:t>机制电价</w:t>
      </w:r>
      <w:r>
        <w:rPr>
          <w:rFonts w:hint="eastAsia" w:ascii="方正仿宋_GBK" w:hAnsi="方正仿宋_GBK" w:eastAsia="方正仿宋_GBK" w:cs="方正仿宋_GBK"/>
          <w:b w:val="0"/>
          <w:bCs w:val="0"/>
          <w:color w:val="auto"/>
          <w:sz w:val="32"/>
          <w:szCs w:val="32"/>
          <w:highlight w:val="none"/>
          <w:lang w:val="en-US" w:eastAsia="zh-CN"/>
        </w:rPr>
        <w:t>执行的起始时间结合项目申报的投产时间、入选时间等确定，未按申报日期投产的项目，实际投产前的机制电量自动失效</w:t>
      </w:r>
      <w:r>
        <w:rPr>
          <w:rFonts w:hint="eastAsia" w:ascii="方正仿宋_GBK" w:hAnsi="方正仿宋_GBK" w:eastAsia="方正仿宋_GBK" w:cs="方正仿宋_GBK"/>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eastAsia="zh-CN"/>
        </w:rPr>
        <w:t>拟参与竞价的新能源企业或聚合商，通过审核公示后，应按要求向</w:t>
      </w:r>
      <w:bookmarkStart w:id="13" w:name="OLE_LINK13"/>
      <w:r>
        <w:rPr>
          <w:rFonts w:hint="eastAsia" w:ascii="方正仿宋_GBK" w:hAnsi="方正仿宋_GBK" w:eastAsia="方正仿宋_GBK" w:cs="方正仿宋_GBK"/>
          <w:b w:val="0"/>
          <w:bCs w:val="0"/>
          <w:color w:val="auto"/>
          <w:sz w:val="32"/>
          <w:szCs w:val="32"/>
          <w:highlight w:val="none"/>
          <w:lang w:eastAsia="zh-CN"/>
        </w:rPr>
        <w:t>省电力公司</w:t>
      </w:r>
      <w:bookmarkEnd w:id="13"/>
      <w:r>
        <w:rPr>
          <w:rFonts w:hint="eastAsia" w:ascii="方正仿宋_GBK" w:hAnsi="方正仿宋_GBK" w:eastAsia="方正仿宋_GBK" w:cs="方正仿宋_GBK"/>
          <w:b w:val="0"/>
          <w:bCs w:val="0"/>
          <w:color w:val="auto"/>
          <w:sz w:val="32"/>
          <w:szCs w:val="32"/>
          <w:highlight w:val="none"/>
          <w:lang w:eastAsia="zh-CN"/>
        </w:rPr>
        <w:t>提交履约保函，已投产项目参与竞价的，原则上不收取</w:t>
      </w:r>
      <w:bookmarkStart w:id="14" w:name="OLE_LINK23"/>
      <w:r>
        <w:rPr>
          <w:rFonts w:hint="eastAsia" w:ascii="方正仿宋_GBK" w:hAnsi="方正仿宋_GBK" w:eastAsia="方正仿宋_GBK" w:cs="方正仿宋_GBK"/>
          <w:b w:val="0"/>
          <w:bCs w:val="0"/>
          <w:color w:val="auto"/>
          <w:sz w:val="32"/>
          <w:szCs w:val="32"/>
          <w:highlight w:val="none"/>
          <w:lang w:eastAsia="zh-CN"/>
        </w:rPr>
        <w:t>履约</w:t>
      </w:r>
      <w:bookmarkEnd w:id="14"/>
      <w:r>
        <w:rPr>
          <w:rFonts w:hint="eastAsia" w:ascii="方正仿宋_GBK" w:hAnsi="方正仿宋_GBK" w:eastAsia="方正仿宋_GBK" w:cs="方正仿宋_GBK"/>
          <w:b w:val="0"/>
          <w:bCs w:val="0"/>
          <w:color w:val="auto"/>
          <w:sz w:val="32"/>
          <w:szCs w:val="32"/>
          <w:highlight w:val="none"/>
          <w:lang w:eastAsia="zh-CN"/>
        </w:rPr>
        <w:t>保函。竞价未入选项目在竞价结果公示后、入选项目在按期投产后，省电力公司应在</w:t>
      </w:r>
      <w:r>
        <w:rPr>
          <w:rFonts w:hint="eastAsia" w:ascii="方正仿宋_GBK" w:hAnsi="方正仿宋_GBK" w:eastAsia="方正仿宋_GBK" w:cs="方正仿宋_GBK"/>
          <w:b w:val="0"/>
          <w:bCs w:val="0"/>
          <w:color w:val="auto"/>
          <w:sz w:val="32"/>
          <w:szCs w:val="32"/>
          <w:highlight w:val="none"/>
          <w:lang w:val="en-US" w:eastAsia="zh-CN"/>
        </w:rPr>
        <w:t>30日内</w:t>
      </w:r>
      <w:r>
        <w:rPr>
          <w:rFonts w:hint="eastAsia" w:ascii="方正仿宋_GBK" w:hAnsi="方正仿宋_GBK" w:eastAsia="方正仿宋_GBK" w:cs="方正仿宋_GBK"/>
          <w:b w:val="0"/>
          <w:bCs w:val="0"/>
          <w:color w:val="auto"/>
          <w:sz w:val="32"/>
          <w:szCs w:val="32"/>
          <w:highlight w:val="none"/>
          <w:lang w:eastAsia="zh-CN"/>
        </w:rPr>
        <w:t>退还履约保函。其中，入选项目若未按期投产，省电力公司可根据项目投产等履约情况申请使用履约保函。</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eastAsia="zh-CN"/>
        </w:rPr>
        <w:t>为避免入选项目在参与电力市场交易时非理性报价，单个增量项目申报纳入机制的电量原则上应低于其全部上网电量，在组织竞价时设定申报上限。</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val="en-US" w:eastAsia="zh-CN"/>
        </w:rPr>
        <w:t>（五）</w:t>
      </w:r>
      <w:bookmarkStart w:id="15" w:name="OLE_LINK8"/>
      <w:r>
        <w:rPr>
          <w:rFonts w:hint="eastAsia" w:ascii="方正楷体_GBK" w:hAnsi="方正楷体_GBK" w:eastAsia="方正楷体_GBK" w:cs="方正楷体_GBK"/>
          <w:b/>
          <w:bCs/>
          <w:color w:val="auto"/>
          <w:sz w:val="32"/>
          <w:szCs w:val="32"/>
          <w:highlight w:val="none"/>
          <w:lang w:val="en-US" w:eastAsia="zh-CN"/>
        </w:rPr>
        <w:t>明确</w:t>
      </w:r>
      <w:r>
        <w:rPr>
          <w:rFonts w:hint="eastAsia" w:ascii="方正楷体_GBK" w:hAnsi="方正楷体_GBK" w:eastAsia="方正楷体_GBK" w:cs="方正楷体_GBK"/>
          <w:b/>
          <w:bCs/>
          <w:color w:val="auto"/>
          <w:sz w:val="32"/>
          <w:szCs w:val="32"/>
          <w:highlight w:val="none"/>
          <w:lang w:eastAsia="zh-CN"/>
        </w:rPr>
        <w:t>机制电价差价结算方式。</w:t>
      </w:r>
      <w:bookmarkEnd w:id="15"/>
      <w:r>
        <w:rPr>
          <w:rFonts w:hint="eastAsia" w:ascii="方正仿宋_GBK" w:hAnsi="方正仿宋_GBK" w:eastAsia="方正仿宋_GBK" w:cs="方正仿宋_GBK"/>
          <w:b w:val="0"/>
          <w:bCs w:val="0"/>
          <w:color w:val="auto"/>
          <w:sz w:val="32"/>
          <w:szCs w:val="32"/>
          <w:highlight w:val="none"/>
          <w:lang w:eastAsia="zh-CN"/>
        </w:rPr>
        <w:t>对纳入机制的电量，电网企业每月按机制电价开展差价结算。各月分解的机制电量，为新能源项目各月实际上网电量与确定比例的乘积。增量项目以及存量项目中核定机制电量年度规模上限的项目，若当年已结算</w:t>
      </w:r>
      <w:r>
        <w:rPr>
          <w:rFonts w:hint="eastAsia" w:ascii="方正仿宋_GBK" w:hAnsi="方正仿宋_GBK" w:eastAsia="方正仿宋_GBK" w:cs="方正仿宋_GBK"/>
          <w:b w:val="0"/>
          <w:bCs w:val="0"/>
          <w:color w:val="auto"/>
          <w:sz w:val="32"/>
          <w:szCs w:val="32"/>
          <w:highlight w:val="none"/>
          <w:lang w:val="en-US" w:eastAsia="zh-CN"/>
        </w:rPr>
        <w:t>机制</w:t>
      </w:r>
      <w:r>
        <w:rPr>
          <w:rFonts w:hint="eastAsia" w:ascii="方正仿宋_GBK" w:hAnsi="方正仿宋_GBK" w:eastAsia="方正仿宋_GBK" w:cs="方正仿宋_GBK"/>
          <w:b w:val="0"/>
          <w:bCs w:val="0"/>
          <w:color w:val="auto"/>
          <w:sz w:val="32"/>
          <w:szCs w:val="32"/>
          <w:highlight w:val="none"/>
          <w:lang w:eastAsia="zh-CN"/>
        </w:rPr>
        <w:t>电量达到年度机制电量规模，则当月超过部分及后续月不再执行机制电价，若年底仍未达到年度机制电量规模，则缺额部分电量不再执行机制电价，不进行跨年滚动。</w:t>
      </w:r>
    </w:p>
    <w:p>
      <w:pPr>
        <w:pStyle w:val="8"/>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bCs/>
          <w:color w:val="auto"/>
          <w:sz w:val="32"/>
          <w:szCs w:val="32"/>
          <w:highlight w:val="none"/>
          <w:lang w:val="en-US" w:eastAsia="zh-CN"/>
        </w:rPr>
        <w:t>（六）明确机制电价衔接政策。</w:t>
      </w:r>
      <w:r>
        <w:rPr>
          <w:rFonts w:hint="eastAsia" w:ascii="方正仿宋_GBK" w:hAnsi="方正仿宋_GBK" w:eastAsia="方正仿宋_GBK" w:cs="方正仿宋_GBK"/>
          <w:b w:val="0"/>
          <w:bCs w:val="0"/>
          <w:color w:val="auto"/>
          <w:sz w:val="32"/>
          <w:szCs w:val="32"/>
          <w:highlight w:val="none"/>
          <w:lang w:eastAsia="zh-CN"/>
        </w:rPr>
        <w:t>存量项目，2025年6月1日至</w:t>
      </w:r>
      <w:bookmarkStart w:id="16" w:name="OLE_LINK26"/>
      <w:r>
        <w:rPr>
          <w:rFonts w:hint="eastAsia" w:ascii="方正仿宋_GBK" w:hAnsi="方正仿宋_GBK" w:eastAsia="方正仿宋_GBK" w:cs="方正仿宋_GBK"/>
          <w:b w:val="0"/>
          <w:bCs w:val="0"/>
          <w:color w:val="auto"/>
          <w:sz w:val="32"/>
          <w:szCs w:val="32"/>
          <w:highlight w:val="none"/>
          <w:lang w:val="en-US" w:eastAsia="zh-CN"/>
        </w:rPr>
        <w:t>2025年12月31日</w:t>
      </w:r>
      <w:bookmarkEnd w:id="16"/>
      <w:r>
        <w:rPr>
          <w:rFonts w:hint="eastAsia" w:ascii="方正仿宋_GBK" w:hAnsi="方正仿宋_GBK" w:eastAsia="方正仿宋_GBK" w:cs="方正仿宋_GBK"/>
          <w:b w:val="0"/>
          <w:bCs w:val="0"/>
          <w:color w:val="auto"/>
          <w:sz w:val="32"/>
          <w:szCs w:val="32"/>
          <w:highlight w:val="none"/>
          <w:lang w:eastAsia="zh-CN"/>
        </w:rPr>
        <w:t>期间的上网电量仍按现行政策执行。增量项目，2025年6月1日至开始执行机制电价期间的上网电量参与电力市场，由市场形成电价，暂未参与市场前，接受实时市场现货价格，待首次参与竞价时，作为已投产但未纳入过机制执行范围的增量项目自愿参与竞价。</w:t>
      </w:r>
      <w:bookmarkStart w:id="17" w:name="OLE_LINK10"/>
      <w:r>
        <w:rPr>
          <w:rFonts w:hint="eastAsia" w:ascii="方正仿宋_GBK" w:hAnsi="方正仿宋_GBK" w:eastAsia="方正仿宋_GBK" w:cs="方正仿宋_GBK"/>
          <w:b w:val="0"/>
          <w:bCs w:val="0"/>
          <w:color w:val="auto"/>
          <w:kern w:val="2"/>
          <w:sz w:val="32"/>
          <w:szCs w:val="32"/>
          <w:highlight w:val="none"/>
          <w:lang w:val="en-US" w:eastAsia="zh-CN" w:bidi="ar-SA"/>
        </w:rPr>
        <w:t>享有财政补贴的新能源项目，全生命周期合理利用小时数内的补贴标准按照原有规定执行。</w:t>
      </w:r>
      <w:r>
        <w:rPr>
          <w:rFonts w:hint="eastAsia" w:ascii="方正仿宋_GBK" w:hAnsi="方正仿宋_GBK" w:cs="方正仿宋_GBK"/>
          <w:b w:val="0"/>
          <w:bCs w:val="0"/>
          <w:color w:val="auto"/>
          <w:kern w:val="2"/>
          <w:sz w:val="32"/>
          <w:szCs w:val="32"/>
          <w:highlight w:val="none"/>
          <w:lang w:val="en-US" w:eastAsia="zh-CN" w:bidi="ar-SA"/>
        </w:rPr>
        <w:t>各地</w:t>
      </w:r>
      <w:r>
        <w:rPr>
          <w:rFonts w:hint="eastAsia" w:ascii="方正仿宋_GBK" w:hAnsi="方正仿宋_GBK" w:eastAsia="方正仿宋_GBK" w:cs="方正仿宋_GBK"/>
          <w:b w:val="0"/>
          <w:bCs w:val="0"/>
          <w:color w:val="auto"/>
          <w:kern w:val="2"/>
          <w:sz w:val="32"/>
          <w:szCs w:val="32"/>
          <w:highlight w:val="none"/>
          <w:lang w:val="en-US" w:eastAsia="zh-CN" w:bidi="ar-SA"/>
        </w:rPr>
        <w:t>不得将配置储能作为新建新能源项目核准、并网</w:t>
      </w:r>
      <w:r>
        <w:rPr>
          <w:rFonts w:hint="eastAsia" w:ascii="方正仿宋_GBK" w:hAnsi="方正仿宋_GBK" w:cs="方正仿宋_GBK"/>
          <w:b w:val="0"/>
          <w:bCs w:val="0"/>
          <w:color w:val="auto"/>
          <w:kern w:val="2"/>
          <w:sz w:val="32"/>
          <w:szCs w:val="32"/>
          <w:highlight w:val="none"/>
          <w:lang w:val="en-US" w:eastAsia="zh-CN" w:bidi="ar-SA"/>
        </w:rPr>
        <w:t>、上网</w:t>
      </w:r>
      <w:r>
        <w:rPr>
          <w:rFonts w:hint="eastAsia" w:ascii="方正仿宋_GBK" w:hAnsi="方正仿宋_GBK" w:eastAsia="方正仿宋_GBK" w:cs="方正仿宋_GBK"/>
          <w:b w:val="0"/>
          <w:bCs w:val="0"/>
          <w:color w:val="auto"/>
          <w:kern w:val="2"/>
          <w:sz w:val="32"/>
          <w:szCs w:val="32"/>
          <w:highlight w:val="none"/>
          <w:lang w:val="en-US" w:eastAsia="zh-CN" w:bidi="ar-SA"/>
        </w:rPr>
        <w:t>等的前置条件。</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val="en-US" w:eastAsia="zh-CN"/>
        </w:rPr>
        <w:t>（七）明确机制电价退出规则。</w:t>
      </w:r>
      <w:r>
        <w:rPr>
          <w:rFonts w:hint="eastAsia" w:ascii="方正仿宋_GBK" w:hAnsi="方正仿宋_GBK" w:eastAsia="方正仿宋_GBK" w:cs="方正仿宋_GBK"/>
          <w:b w:val="0"/>
          <w:bCs w:val="0"/>
          <w:color w:val="auto"/>
          <w:sz w:val="32"/>
          <w:szCs w:val="32"/>
          <w:highlight w:val="none"/>
          <w:lang w:eastAsia="zh-CN"/>
        </w:rPr>
        <w:t>已纳入机制的新能源项目，执行期限内可自愿申请退出。新能源项目执行到期，或者在期限内自愿退出的，均不再纳入机制电价执行范围。</w:t>
      </w:r>
    </w:p>
    <w:bookmarkEnd w:id="17"/>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cs="方正黑体_GBK"/>
          <w:color w:val="auto"/>
          <w:sz w:val="32"/>
          <w:szCs w:val="32"/>
          <w:highlight w:val="none"/>
          <w:lang w:val="en-US" w:eastAsia="zh-CN"/>
        </w:rPr>
        <w:t>二</w:t>
      </w:r>
      <w:r>
        <w:rPr>
          <w:rFonts w:hint="eastAsia" w:ascii="方正黑体_GBK" w:hAnsi="方正黑体_GBK" w:eastAsia="方正黑体_GBK" w:cs="方正黑体_GBK"/>
          <w:color w:val="auto"/>
          <w:sz w:val="32"/>
          <w:szCs w:val="32"/>
          <w:highlight w:val="none"/>
          <w:lang w:val="en-US" w:eastAsia="zh-CN"/>
        </w:rPr>
        <w:t>、配套措施</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val="en-US" w:eastAsia="zh-CN"/>
        </w:rPr>
        <w:t>（一）规范电能量市场结算规则。</w:t>
      </w:r>
      <w:r>
        <w:rPr>
          <w:rFonts w:hint="eastAsia" w:ascii="方正仿宋_GBK" w:hAnsi="方正仿宋_GBK" w:eastAsia="方正仿宋_GBK" w:cs="方正仿宋_GBK"/>
          <w:i w:val="0"/>
          <w:caps w:val="0"/>
          <w:color w:val="353535"/>
          <w:spacing w:val="0"/>
          <w:kern w:val="2"/>
          <w:sz w:val="32"/>
          <w:szCs w:val="32"/>
          <w:highlight w:val="none"/>
          <w:shd w:val="clear" w:fill="auto"/>
          <w:lang w:val="en-US" w:eastAsia="zh-CN" w:bidi="ar"/>
        </w:rPr>
        <w:t>贯彻落实国家电力市场计量结算基本规则，规范各类电力市场结算不合理规定，按国家规定统一结算科目样式，加快实现电能量电费由实时市场全电量电费、日前市场差价电费、中长期（含绿色电力交易）差价合约电费组成，实时市场全电量按实时价格结算，日前市场电量按日前价格与实时价格之差作差价结算，中长期电量按合约价格与中长期结算参考点电价之差作差价结算。其中用户侧主体现货市场价格分别按照实时和日前市场发电侧节点加权平均价结算，发电侧主体现货市场价格分别按照实时和日前市场机组所在节点电价结算。</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val="en-US" w:eastAsia="zh-CN"/>
        </w:rPr>
        <w:t>（二）健全中长期市场交易和价格机制。</w:t>
      </w:r>
      <w:r>
        <w:rPr>
          <w:rFonts w:hint="eastAsia" w:ascii="方正仿宋_GBK" w:hAnsi="方正仿宋_GBK" w:eastAsia="方正仿宋_GBK" w:cs="方正仿宋_GBK"/>
          <w:b w:val="0"/>
          <w:bCs w:val="0"/>
          <w:color w:val="auto"/>
          <w:sz w:val="32"/>
          <w:szCs w:val="32"/>
          <w:highlight w:val="none"/>
          <w:lang w:eastAsia="zh-CN"/>
        </w:rPr>
        <w:t>不断完善中长期市场交易规则，适度放宽发电侧中长期签约比例要求，新能源中长期签约比例原则上不设下限，相应调整用户侧中长期签约比例，加强与现货市场衔接，优化中长期市场分时划分和限价规则，</w:t>
      </w:r>
      <w:r>
        <w:rPr>
          <w:rFonts w:hint="eastAsia" w:ascii="方正仿宋_GBK" w:hAnsi="方正仿宋_GBK" w:eastAsia="方正仿宋_GBK" w:cs="方正仿宋_GBK"/>
          <w:b w:val="0"/>
          <w:bCs w:val="0"/>
          <w:color w:val="auto"/>
          <w:sz w:val="32"/>
          <w:szCs w:val="32"/>
          <w:highlight w:val="none"/>
          <w:lang w:val="en-US" w:eastAsia="zh-CN"/>
        </w:rPr>
        <w:t>相应调整</w:t>
      </w:r>
      <w:r>
        <w:rPr>
          <w:rFonts w:hint="eastAsia" w:ascii="方正仿宋_GBK" w:hAnsi="方正仿宋_GBK" w:eastAsia="方正仿宋_GBK" w:cs="方正仿宋_GBK"/>
          <w:b w:val="0"/>
          <w:bCs w:val="0"/>
          <w:color w:val="auto"/>
          <w:sz w:val="32"/>
          <w:szCs w:val="32"/>
          <w:highlight w:val="none"/>
          <w:lang w:eastAsia="zh-CN"/>
        </w:rPr>
        <w:t>中长期挂牌、集中竞价、滚动撮合交易限价等措施。</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eastAsia="zh-CN"/>
        </w:rPr>
        <w:t>新能源和煤电公平参与电力市场，条件具备时，双边交易允许供需双方结合新能源出力特点，合理确定中长期合同的量价、曲线、结算参考点等，结算参考点可自行选择日前市场或实时市场任一节点或统一结算点</w:t>
      </w:r>
      <w:r>
        <w:rPr>
          <w:rFonts w:hint="eastAsia" w:ascii="方正仿宋_GBK" w:hAnsi="方正仿宋_GBK" w:eastAsia="方正仿宋_GBK" w:cs="方正仿宋_GBK"/>
          <w:b w:val="0"/>
          <w:bCs w:val="0"/>
          <w:color w:val="auto"/>
          <w:sz w:val="32"/>
          <w:szCs w:val="32"/>
          <w:highlight w:val="none"/>
          <w:lang w:val="en-US" w:eastAsia="zh-CN"/>
        </w:rPr>
        <w:t>。未选择的结算参考点的默认选择为实时市场</w:t>
      </w:r>
      <w:r>
        <w:rPr>
          <w:rFonts w:hint="eastAsia" w:ascii="方正仿宋_GBK" w:hAnsi="方正仿宋_GBK" w:eastAsia="方正仿宋_GBK" w:cs="方正仿宋_GBK"/>
          <w:b w:val="0"/>
          <w:bCs w:val="0"/>
          <w:color w:val="auto"/>
          <w:sz w:val="32"/>
          <w:szCs w:val="32"/>
          <w:highlight w:val="none"/>
          <w:lang w:eastAsia="zh-CN"/>
        </w:rPr>
        <w:t>统一结算点</w:t>
      </w:r>
      <w:r>
        <w:rPr>
          <w:rFonts w:hint="eastAsia" w:ascii="方正仿宋_GBK" w:hAnsi="方正仿宋_GBK" w:eastAsia="方正仿宋_GBK" w:cs="方正仿宋_GBK"/>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方正仿宋_GBK" w:hAnsi="方正仿宋_GBK" w:eastAsia="方正仿宋_GBK" w:cs="方正仿宋_GBK"/>
          <w:b w:val="0"/>
          <w:bCs w:val="0"/>
          <w:color w:val="auto"/>
          <w:sz w:val="32"/>
          <w:szCs w:val="32"/>
          <w:highlight w:val="none"/>
          <w:lang w:eastAsia="zh-CN"/>
        </w:rPr>
      </w:pPr>
      <w:bookmarkStart w:id="18" w:name="OLE_LINK25"/>
      <w:r>
        <w:rPr>
          <w:rFonts w:hint="eastAsia" w:ascii="方正仿宋_GBK" w:hAnsi="方正仿宋_GBK" w:eastAsia="方正仿宋_GBK" w:cs="方正仿宋_GBK"/>
          <w:b w:val="0"/>
          <w:bCs w:val="0"/>
          <w:color w:val="auto"/>
          <w:sz w:val="32"/>
          <w:szCs w:val="32"/>
          <w:highlight w:val="none"/>
          <w:lang w:eastAsia="zh-CN"/>
        </w:rPr>
        <w:t>新能源参与</w:t>
      </w:r>
      <w:r>
        <w:rPr>
          <w:rFonts w:hint="eastAsia" w:ascii="方正仿宋_GBK" w:hAnsi="方正仿宋_GBK" w:eastAsia="方正仿宋_GBK" w:cs="方正仿宋_GBK"/>
          <w:b w:val="0"/>
          <w:bCs w:val="0"/>
          <w:color w:val="auto"/>
          <w:sz w:val="32"/>
          <w:szCs w:val="32"/>
          <w:highlight w:val="none"/>
          <w:lang w:val="en-US" w:eastAsia="zh-CN"/>
        </w:rPr>
        <w:t>中长期市场交易申报电量上限按照额定容量扣减机制电量对应容量后的最大上网能力确定</w:t>
      </w:r>
      <w:r>
        <w:rPr>
          <w:rFonts w:hint="eastAsia" w:ascii="方正仿宋_GBK" w:hAnsi="方正仿宋_GBK" w:eastAsia="方正仿宋_GBK" w:cs="方正仿宋_GBK"/>
          <w:b w:val="0"/>
          <w:bCs w:val="0"/>
          <w:color w:val="auto"/>
          <w:sz w:val="32"/>
          <w:szCs w:val="32"/>
          <w:highlight w:val="none"/>
          <w:lang w:eastAsia="zh-CN"/>
        </w:rPr>
        <w:t>。</w:t>
      </w:r>
    </w:p>
    <w:bookmarkEnd w:id="18"/>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CESI仿宋-GB2312" w:hAnsi="CESI仿宋-GB2312" w:eastAsia="CESI仿宋-GB2312" w:cs="CESI仿宋-GB2312"/>
          <w:b w:val="0"/>
          <w:bCs w:val="0"/>
          <w:strike/>
          <w:color w:val="auto"/>
          <w:sz w:val="32"/>
          <w:szCs w:val="32"/>
          <w:highlight w:val="none"/>
          <w:lang w:val="en-US" w:eastAsia="zh-CN"/>
        </w:rPr>
      </w:pPr>
      <w:bookmarkStart w:id="19" w:name="OLE_LINK29"/>
      <w:r>
        <w:rPr>
          <w:rFonts w:hint="eastAsia" w:ascii="方正楷体_GBK" w:hAnsi="方正楷体_GBK" w:eastAsia="方正楷体_GBK" w:cs="方正楷体_GBK"/>
          <w:b/>
          <w:bCs/>
          <w:color w:val="auto"/>
          <w:sz w:val="32"/>
          <w:szCs w:val="32"/>
          <w:highlight w:val="none"/>
          <w:lang w:val="en-US" w:eastAsia="zh-CN"/>
        </w:rPr>
        <w:t>（三）优化现货市场交易和价格机制。</w:t>
      </w:r>
      <w:r>
        <w:rPr>
          <w:rFonts w:hint="eastAsia" w:ascii="方正仿宋_GBK" w:hAnsi="方正仿宋_GBK" w:eastAsia="方正仿宋_GBK" w:cs="方正仿宋_GBK"/>
          <w:b w:val="0"/>
          <w:bCs w:val="0"/>
          <w:color w:val="auto"/>
          <w:sz w:val="32"/>
          <w:szCs w:val="32"/>
          <w:highlight w:val="none"/>
          <w:lang w:val="en-US" w:eastAsia="zh-CN"/>
        </w:rPr>
        <w:t>为保证电力市场和电力系统平稳运行，不断完善现货市场交易规则，推动新能源公平参与实时市场。自本方案实施之日起，日前市场与可靠性机组组合分开，允许新能源和用户采用“报量报价”方式自愿参与日前市场，出清结果用于结算，但所有电量（容量）必须参与可靠性机组组合；为引导调节性资源响应系统需要，同步开展以日前负荷预测作为需求、发电侧可靠性机组组合阶段申报作为供给的日前全电量模拟出清和价格计算，并向全社会公布，计算结果不用于结算。</w:t>
      </w:r>
      <w:bookmarkEnd w:id="19"/>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CESI仿宋-GB2312" w:hAnsi="CESI仿宋-GB2312" w:eastAsia="CESI仿宋-GB2312" w:cs="CESI仿宋-GB2312"/>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适当放宽现货市场限价，现货市场</w:t>
      </w:r>
      <w:r>
        <w:rPr>
          <w:rFonts w:hint="eastAsia" w:ascii="方正仿宋_GBK" w:hAnsi="方正仿宋_GBK" w:eastAsia="方正仿宋_GBK" w:cs="方正仿宋_GBK"/>
          <w:b w:val="0"/>
          <w:bCs w:val="0"/>
          <w:color w:val="auto"/>
          <w:sz w:val="32"/>
          <w:szCs w:val="32"/>
          <w:highlight w:val="none"/>
          <w:lang w:eastAsia="zh-CN"/>
        </w:rPr>
        <w:t>申报价格上限考虑工商业用户尖峰电价水平等因素确定；申报价格下限考虑新能源在电力市场外可获得的财政补贴、绿证交易、碳交易市场其他收益等因素确定。合理设置省内现货市场</w:t>
      </w:r>
      <w:r>
        <w:rPr>
          <w:rFonts w:hint="eastAsia" w:ascii="方正仿宋_GBK" w:hAnsi="方正仿宋_GBK" w:eastAsia="方正仿宋_GBK" w:cs="方正仿宋_GBK"/>
          <w:b w:val="0"/>
          <w:bCs w:val="0"/>
          <w:color w:val="auto"/>
          <w:sz w:val="32"/>
          <w:szCs w:val="32"/>
          <w:highlight w:val="none"/>
          <w:lang w:val="en-US" w:eastAsia="zh-CN"/>
        </w:rPr>
        <w:t>结算限价，现货市场结算限价原则上不高于燃煤发电度电燃料成本的2倍，迎峰度夏（冬）期间可适当提高，结算限价机制按月执行，当月度实时加权平均电价超出结算限价时，在结算环节对各节点分时结算电价等比例调减。</w:t>
      </w:r>
      <w:r>
        <w:rPr>
          <w:rFonts w:hint="eastAsia" w:ascii="方正仿宋_GBK" w:hAnsi="方正仿宋_GBK" w:eastAsia="方正仿宋_GBK" w:cs="方正仿宋_GBK"/>
          <w:b w:val="0"/>
          <w:bCs w:val="0"/>
          <w:color w:val="auto"/>
          <w:sz w:val="32"/>
          <w:szCs w:val="32"/>
          <w:highlight w:val="none"/>
          <w:lang w:eastAsia="zh-CN"/>
        </w:rPr>
        <w:t>在成本调查基础上，优化调整发电机组启动补偿、必开机组补偿等标准。具体限价规则由省发展改革委根据国家规定另行明确。</w:t>
      </w:r>
    </w:p>
    <w:p>
      <w:pPr>
        <w:pStyle w:val="11"/>
        <w:keepNext w:val="0"/>
        <w:keepLines w:val="0"/>
        <w:pageBreakBefore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CESI仿宋-GB2312" w:hAnsi="CESI仿宋-GB2312" w:eastAsia="CESI仿宋-GB2312" w:cs="CESI仿宋-GB2312"/>
          <w:b w:val="0"/>
          <w:bCs w:val="0"/>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（四）完善绿色电力交易机制。</w:t>
      </w:r>
      <w:r>
        <w:rPr>
          <w:rFonts w:hint="eastAsia" w:ascii="方正仿宋_GBK" w:hAnsi="方正仿宋_GBK" w:eastAsia="方正仿宋_GBK" w:cs="方正仿宋_GBK"/>
          <w:b w:val="0"/>
          <w:bCs w:val="0"/>
          <w:color w:val="auto"/>
          <w:kern w:val="2"/>
          <w:sz w:val="32"/>
          <w:szCs w:val="32"/>
          <w:highlight w:val="none"/>
          <w:lang w:val="en-US" w:eastAsia="zh-CN" w:bidi="ar-SA"/>
        </w:rPr>
        <w:t>绿色电力交易申报和成交价格应分别明确电能量价格和相应绿色电力证书（以下简称“绿证”）价格。省内绿色电力交易中不单独组织集中竞价和滚动撮合交易，采取双边协商或挂牌交易等方式开展。在合理衔接、风险可控前提下，鼓励开展多年期绿色电力交易。</w:t>
      </w:r>
      <w:bookmarkStart w:id="20" w:name="OLE_LINK19"/>
      <w:r>
        <w:rPr>
          <w:rFonts w:hint="eastAsia" w:ascii="方正仿宋_GBK" w:hAnsi="方正仿宋_GBK" w:eastAsia="方正仿宋_GBK" w:cs="方正仿宋_GBK"/>
          <w:b w:val="0"/>
          <w:bCs w:val="0"/>
          <w:color w:val="auto"/>
          <w:kern w:val="2"/>
          <w:sz w:val="32"/>
          <w:szCs w:val="32"/>
          <w:highlight w:val="none"/>
          <w:lang w:val="en-US" w:eastAsia="zh-CN" w:bidi="ar-SA"/>
        </w:rPr>
        <w:t>已签订绿色电力交易合约的新能源项目，</w:t>
      </w:r>
      <w:bookmarkStart w:id="21" w:name="OLE_LINK9"/>
      <w:bookmarkStart w:id="22" w:name="OLE_LINK11"/>
      <w:r>
        <w:rPr>
          <w:rFonts w:hint="eastAsia" w:ascii="方正仿宋_GBK" w:hAnsi="方正仿宋_GBK" w:eastAsia="方正仿宋_GBK" w:cs="方正仿宋_GBK"/>
          <w:b w:val="0"/>
          <w:bCs w:val="0"/>
          <w:color w:val="auto"/>
          <w:kern w:val="2"/>
          <w:sz w:val="32"/>
          <w:szCs w:val="32"/>
          <w:highlight w:val="none"/>
          <w:lang w:val="en-US" w:eastAsia="zh-CN" w:bidi="ar-SA"/>
        </w:rPr>
        <w:t>其当月绿色电力交易合约电量（含多年、年度、季度交易分解至当月的）超出实际上网电量减去机制电量部分</w:t>
      </w:r>
      <w:bookmarkEnd w:id="21"/>
      <w:r>
        <w:rPr>
          <w:rFonts w:hint="eastAsia" w:ascii="方正仿宋_GBK" w:hAnsi="方正仿宋_GBK" w:eastAsia="方正仿宋_GBK" w:cs="方正仿宋_GBK"/>
          <w:b w:val="0"/>
          <w:bCs w:val="0"/>
          <w:color w:val="auto"/>
          <w:kern w:val="2"/>
          <w:sz w:val="32"/>
          <w:szCs w:val="32"/>
          <w:highlight w:val="none"/>
          <w:lang w:val="en-US" w:eastAsia="zh-CN" w:bidi="ar-SA"/>
        </w:rPr>
        <w:t>，于当月从机制电量中相应扣减</w:t>
      </w:r>
      <w:bookmarkEnd w:id="22"/>
      <w:r>
        <w:rPr>
          <w:rFonts w:hint="eastAsia" w:ascii="方正仿宋_GBK" w:hAnsi="方正仿宋_GBK" w:eastAsia="方正仿宋_GBK" w:cs="方正仿宋_GBK"/>
          <w:b w:val="0"/>
          <w:bCs w:val="0"/>
          <w:color w:val="auto"/>
          <w:kern w:val="2"/>
          <w:sz w:val="32"/>
          <w:szCs w:val="32"/>
          <w:highlight w:val="none"/>
          <w:lang w:val="en-US" w:eastAsia="zh-CN" w:bidi="ar-SA"/>
        </w:rPr>
        <w:t>。新签订绿色电力交易合约的新能源项目，其当月绿色电力交易合约电量（含多年、年度、季度交易分解至当月的）超出实际上网电量减去机制电量部分，于当月从机制电量中相应扣减，后续年度相应扣减机制电量比例（跨省跨区交易电量部分，从机制电量与实际上网电量中同步扣减，国家另有规定的按国家规定执行）</w:t>
      </w:r>
      <w:bookmarkEnd w:id="20"/>
      <w:r>
        <w:rPr>
          <w:rFonts w:hint="eastAsia" w:ascii="方正仿宋_GBK" w:hAnsi="方正仿宋_GBK" w:eastAsia="方正仿宋_GBK" w:cs="方正仿宋_GBK"/>
          <w:b w:val="0"/>
          <w:bCs w:val="0"/>
          <w:color w:val="auto"/>
          <w:kern w:val="2"/>
          <w:sz w:val="32"/>
          <w:szCs w:val="32"/>
          <w:highlight w:val="none"/>
          <w:lang w:val="en-US" w:eastAsia="zh-CN" w:bidi="ar-SA"/>
        </w:rPr>
        <w:t>。强化改革与绿证政策协同，机制电量不重复获得绿证收益，对应绿证统一划转至省级绿证专用账户，由承担“新能源可持续发展价格结算机制电量差价结算费用”的用户共有。</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（五）规范辅助服务市场机制。</w:t>
      </w:r>
      <w:r>
        <w:rPr>
          <w:rFonts w:hint="eastAsia" w:ascii="方正仿宋_GBK" w:hAnsi="方正仿宋_GBK" w:eastAsia="方正仿宋_GBK" w:cs="方正仿宋_GBK"/>
          <w:b w:val="0"/>
          <w:bCs w:val="0"/>
          <w:color w:val="auto"/>
          <w:kern w:val="2"/>
          <w:sz w:val="32"/>
          <w:szCs w:val="32"/>
          <w:highlight w:val="none"/>
          <w:lang w:val="en-US" w:eastAsia="zh-CN" w:bidi="ar-SA"/>
        </w:rPr>
        <w:t>加强电力辅助服务市场与中长期市场、现货市场的统筹衔接，科学确定辅助服务市场需求，合理设置有偿辅助服务品种，规范辅助服务计价等市场规则。允许新能源参与辅助服务市场。符合国家要求的调频、备用辅助服务费用（不含提供辅助服务过程中产生的电量费用），原则上由用户用电量（含外送电量）和未参与电能量市场交易的上网电量共同分担，分担比例由省发展改革委明确。其他需由经营主体承担的辅助服务费用，按程序报批。</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（六）建全发电侧容量补偿机制。</w:t>
      </w:r>
      <w:r>
        <w:rPr>
          <w:rFonts w:hint="eastAsia" w:ascii="方正仿宋_GBK" w:hAnsi="方正仿宋_GBK" w:eastAsia="方正仿宋_GBK" w:cs="方正仿宋_GBK"/>
          <w:b w:val="0"/>
          <w:bCs w:val="0"/>
          <w:color w:val="auto"/>
          <w:kern w:val="2"/>
          <w:sz w:val="32"/>
          <w:szCs w:val="32"/>
          <w:highlight w:val="none"/>
          <w:lang w:val="en-US" w:eastAsia="zh-CN" w:bidi="ar-SA"/>
        </w:rPr>
        <w:t>发电侧容量补偿适用范围适时由煤电拓展至天然气发电、风电、光伏、抽水蓄能、新型储能等能提供有效容量的各类发电主体（不含已纳入机制的新能源）。容量补偿实行统一的电价标准，容量补偿费用由容量补偿标准、有效容量、供需系数共同确定。探索建立市场化容量补偿机制，推动由补偿传统机组固定成本缺额向市场保障系统长期容量充裕度转变，通过市场发现容量价格，在发电侧逐步形成“电能量+容量”的两部制市场价格体系。</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（七）优化代理购电电量采购机制。</w:t>
      </w:r>
      <w:r>
        <w:rPr>
          <w:rFonts w:hint="eastAsia" w:ascii="方正仿宋_GBK" w:hAnsi="方正仿宋_GBK" w:eastAsia="方正仿宋_GBK" w:cs="方正仿宋_GBK"/>
          <w:b w:val="0"/>
          <w:bCs w:val="0"/>
          <w:color w:val="auto"/>
          <w:kern w:val="2"/>
          <w:sz w:val="32"/>
          <w:szCs w:val="32"/>
          <w:highlight w:val="none"/>
          <w:lang w:val="en-US" w:eastAsia="zh-CN" w:bidi="ar-SA"/>
        </w:rPr>
        <w:t>完善与新能源全电量参与市场交易相适应的电网企业代理购电机制，我省机制电价政策执行后，新能源以外执行“保量保价”的优先发电电量优先作为保障居民、农业用户以及线损电量的购电电量来源，仍有剩余的可作为全体工商业用户购电来源，上网电价按现行价格政策执行，由电网企业收购，不足部分通过市场化采购，偏差电量按照现货市场价格结算。新能源上网电量可作为电网企业代理采购电量来源，由电网企业通过市场化方式采购。电网企业要定期预测代理购电工商业用户用电量及典型负荷曲线，应考虑季节变更、节假日安排等因素分别预测分时段用电量，并自主确定日前市场申报电量。</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（八）健全新能源消纳衔接机制。</w:t>
      </w:r>
      <w:r>
        <w:rPr>
          <w:rFonts w:hint="eastAsia" w:ascii="方正仿宋_GBK" w:hAnsi="方正仿宋_GBK" w:eastAsia="方正仿宋_GBK" w:cs="方正仿宋_GBK"/>
          <w:b w:val="0"/>
          <w:bCs w:val="0"/>
          <w:color w:val="auto"/>
          <w:kern w:val="2"/>
          <w:sz w:val="32"/>
          <w:szCs w:val="32"/>
          <w:highlight w:val="none"/>
          <w:lang w:val="en-US" w:eastAsia="zh-CN" w:bidi="ar-SA"/>
        </w:rPr>
        <w:t>“报量报价”参与现货市场的新能源，在省间现货、省内现货以及辅助服务等市场（考虑时间上最后一个市场）组织完成后，因自身报价因素导致的未上网电量，不纳入系统原因新能源利用率统计与考核。针对新能源大发时段导致的消纳问题，统筹制定新能源消纳利用排序。原则上“报量报价”项目依据报价进行排序，报价相同的项目可按照等比例方式消纳。探索定期开展新能源企业预测偏差排序，并与弃电排序进行动态挂钩，激励新能源企业提高预测精准度。</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（九）建立发电机组成本调查制度。</w:t>
      </w:r>
      <w:r>
        <w:rPr>
          <w:rFonts w:hint="eastAsia" w:ascii="方正仿宋_GBK" w:hAnsi="方正仿宋_GBK" w:eastAsia="方正仿宋_GBK" w:cs="方正仿宋_GBK"/>
          <w:b w:val="0"/>
          <w:bCs w:val="0"/>
          <w:color w:val="auto"/>
          <w:kern w:val="2"/>
          <w:sz w:val="32"/>
          <w:szCs w:val="32"/>
          <w:highlight w:val="none"/>
          <w:lang w:val="en-US" w:eastAsia="zh-CN" w:bidi="ar-SA"/>
        </w:rPr>
        <w:t>结合山西电网能源结构特性，制定市场化机组成本模型、调查制度和核算规则。定期开展不同类型机组启动成本、空载成本、变动成本及固定成本调查工作，分类测算各类型机组成本水平及波动趋势。通过逻辑校核、交叉验证以及现场核查等方式，确保数据真实准确，为我省电力市场平稳运行和电价机制不断优化提供支撑。</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bCs/>
          <w:color w:val="auto"/>
          <w:kern w:val="2"/>
          <w:sz w:val="32"/>
          <w:szCs w:val="32"/>
          <w:highlight w:val="none"/>
          <w:lang w:val="en-US" w:eastAsia="zh-CN" w:bidi="ar-SA"/>
        </w:rPr>
        <w:t>（十）建立电力市场价格监测体系。</w:t>
      </w:r>
      <w:r>
        <w:rPr>
          <w:rFonts w:hint="eastAsia" w:ascii="方正仿宋_GBK" w:hAnsi="方正仿宋_GBK" w:eastAsia="方正仿宋_GBK" w:cs="方正仿宋_GBK"/>
          <w:b w:val="0"/>
          <w:bCs w:val="0"/>
          <w:color w:val="auto"/>
          <w:kern w:val="2"/>
          <w:sz w:val="32"/>
          <w:szCs w:val="32"/>
          <w:highlight w:val="none"/>
          <w:lang w:val="en-US" w:eastAsia="zh-CN" w:bidi="ar-SA"/>
        </w:rPr>
        <w:t>建立健全涵盖发电企业、售电公司、电力用户、新型经营主体等多维度多指标价格监测体系。加强对电力中长期、现货和辅助服务市场相关交易情况、涉价信息披露情况、结算科目、各类费用规模、各类主体收益和费用分摊情况、市场限价等价格信息的监测工作。电力市场出现价格异常波动时，及时启动预警，分析异常原因，提出处置方案，确保电价改革平稳有序推进。坚决纠正不当干预电力市场行为，不得向新能源不合理分摊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cs="方正黑体_GBK"/>
          <w:color w:val="auto"/>
          <w:sz w:val="32"/>
          <w:szCs w:val="32"/>
          <w:highlight w:val="none"/>
          <w:lang w:val="en-US" w:eastAsia="zh-CN"/>
        </w:rPr>
        <w:t>三</w:t>
      </w:r>
      <w:r>
        <w:rPr>
          <w:rFonts w:hint="eastAsia" w:ascii="方正黑体_GBK" w:hAnsi="方正黑体_GBK" w:eastAsia="方正黑体_GBK" w:cs="方正黑体_GBK"/>
          <w:color w:val="auto"/>
          <w:sz w:val="32"/>
          <w:szCs w:val="32"/>
          <w:highlight w:val="none"/>
          <w:lang w:val="en-US" w:eastAsia="zh-CN"/>
        </w:rPr>
        <w:t>、保障措施</w:t>
      </w:r>
    </w:p>
    <w:p>
      <w:pPr>
        <w:pStyle w:val="8"/>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省发展改革委负责建立深化新能源上网电价市场化改革促进新能源高质量发展工作机制，统筹协调解决推进过程中的问题，按要求完善电力市场有关价格机制</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密切跟踪市场价格波动、新能源发电成本和收益变化、终端用户电价水平等，定期评估改革对行业发展和企业经营等方面的影响，及时总结改革成效，优化政策实施；牵头会同省能源局、山西能源监管办根据本实施方案制定配套实施细则，并推动各项工作有序落地落实。省发展改革委、省能源局、山西能源监管办按国家规定，在各自职能范围内负责牵头完善电力现货、中长期、绿色电力交易、电力辅助服务等市场交易和结算规则，确保新能源按期全部参与电力市场，公平参与市场交易</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电网企业积极提供技术支撑，做好信息系统更新改造及竞价平台搭建工作，密切配合开展新能源入市、机制电价等具体实施工作，及时做好合同（协议）签订、电费结算等，对新能源可持续发展价格结算机制执行结果单独归集，按规定披露市场有关信息</w:t>
      </w:r>
      <w:r>
        <w:rPr>
          <w:rFonts w:hint="eastAsia" w:ascii="方正仿宋_GBK" w:hAnsi="方正仿宋_GBK" w:cs="方正仿宋_GBK"/>
          <w:b w:val="0"/>
          <w:bCs w:val="0"/>
          <w:color w:val="auto"/>
          <w:kern w:val="2"/>
          <w:sz w:val="32"/>
          <w:szCs w:val="32"/>
          <w:highlight w:val="none"/>
          <w:lang w:val="en-US" w:eastAsia="zh-CN" w:bidi="ar-SA"/>
        </w:rPr>
        <w:t>，及时</w:t>
      </w:r>
      <w:r>
        <w:rPr>
          <w:rFonts w:hint="eastAsia" w:ascii="方正仿宋_GBK" w:hAnsi="方正仿宋_GBK" w:eastAsia="方正仿宋_GBK" w:cs="方正仿宋_GBK"/>
          <w:b w:val="0"/>
          <w:bCs w:val="0"/>
          <w:color w:val="auto"/>
          <w:kern w:val="2"/>
          <w:sz w:val="32"/>
          <w:szCs w:val="32"/>
          <w:highlight w:val="none"/>
          <w:lang w:val="en-US" w:eastAsia="zh-CN" w:bidi="ar-SA"/>
        </w:rPr>
        <w:t>向电力用户解释系统运行费用结构变化等。</w:t>
      </w:r>
      <w:r>
        <w:rPr>
          <w:rFonts w:hint="eastAsia" w:ascii="方正仿宋_GBK" w:hAnsi="方正仿宋_GBK" w:cs="方正仿宋_GBK"/>
          <w:b w:val="0"/>
          <w:bCs w:val="0"/>
          <w:color w:val="auto"/>
          <w:kern w:val="2"/>
          <w:sz w:val="32"/>
          <w:szCs w:val="32"/>
          <w:highlight w:val="none"/>
          <w:lang w:val="en-US" w:eastAsia="zh-CN" w:bidi="ar-SA"/>
        </w:rPr>
        <w:t>各部门根据工作职能，充分利用门户网站等渠道，</w:t>
      </w:r>
      <w:r>
        <w:rPr>
          <w:rFonts w:hint="eastAsia" w:ascii="方正仿宋_GBK" w:hAnsi="方正仿宋_GBK" w:eastAsia="方正仿宋_GBK" w:cs="方正仿宋_GBK"/>
          <w:b w:val="0"/>
          <w:bCs w:val="0"/>
          <w:color w:val="auto"/>
          <w:kern w:val="2"/>
          <w:sz w:val="32"/>
          <w:szCs w:val="32"/>
          <w:highlight w:val="none"/>
          <w:lang w:val="en-US" w:eastAsia="zh-CN" w:bidi="ar-SA"/>
        </w:rPr>
        <w:t>加强政策宣传解读，积极与市场主体沟通交流，及时回应社会关切，充分凝聚改革共识，共同确保政策平稳落地实施。</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本方案</w:t>
      </w:r>
      <w:bookmarkStart w:id="23" w:name="OLE_LINK24"/>
      <w:r>
        <w:rPr>
          <w:rFonts w:hint="eastAsia" w:ascii="方正仿宋_GBK" w:hAnsi="方正仿宋_GBK" w:eastAsia="方正仿宋_GBK" w:cs="方正仿宋_GBK"/>
          <w:b w:val="0"/>
          <w:bCs w:val="0"/>
          <w:color w:val="auto"/>
          <w:kern w:val="2"/>
          <w:sz w:val="32"/>
          <w:szCs w:val="32"/>
          <w:highlight w:val="none"/>
          <w:lang w:val="en-US" w:eastAsia="zh-CN" w:bidi="ar-SA"/>
        </w:rPr>
        <w:t>自</w:t>
      </w:r>
      <w:bookmarkStart w:id="24" w:name="OLE_LINK22"/>
      <w:r>
        <w:rPr>
          <w:rFonts w:hint="eastAsia" w:ascii="方正仿宋_GBK" w:hAnsi="方正仿宋_GBK" w:eastAsia="方正仿宋_GBK" w:cs="方正仿宋_GBK"/>
          <w:b w:val="0"/>
          <w:bCs w:val="0"/>
          <w:color w:val="auto"/>
          <w:kern w:val="2"/>
          <w:sz w:val="32"/>
          <w:szCs w:val="32"/>
          <w:highlight w:val="none"/>
          <w:lang w:val="en-US" w:eastAsia="zh-CN" w:bidi="ar-SA"/>
        </w:rPr>
        <w:t>2025年*月*日起实施</w:t>
      </w:r>
      <w:bookmarkEnd w:id="23"/>
      <w:bookmarkEnd w:id="24"/>
      <w:r>
        <w:rPr>
          <w:rFonts w:hint="eastAsia" w:ascii="方正仿宋_GBK" w:hAnsi="方正仿宋_GBK" w:eastAsia="方正仿宋_GBK" w:cs="方正仿宋_GBK"/>
          <w:b w:val="0"/>
          <w:bCs w:val="0"/>
          <w:color w:val="auto"/>
          <w:kern w:val="2"/>
          <w:sz w:val="32"/>
          <w:szCs w:val="32"/>
          <w:highlight w:val="none"/>
          <w:lang w:val="en-US" w:eastAsia="zh-CN" w:bidi="ar-SA"/>
        </w:rPr>
        <w:t>。期间如遇国家政策调整，按国家规定执行。</w:t>
      </w:r>
    </w:p>
    <w:p>
      <w:pPr>
        <w:pStyle w:val="11"/>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
        </w:rPr>
      </w:pPr>
    </w:p>
    <w:p>
      <w:pPr>
        <w:pStyle w:val="11"/>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附件：1.山西省存量新能源项目机制电价实施细则</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1605" w:firstLineChars="500"/>
        <w:textAlignment w:val="auto"/>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2.山西省增量新能源项目机制电价实施细则</w:t>
      </w:r>
    </w:p>
    <w:p>
      <w:pPr>
        <w:keepNext w:val="0"/>
        <w:keepLines w:val="0"/>
        <w:pageBreakBefore w:val="0"/>
        <w:widowControl/>
        <w:kinsoku/>
        <w:wordWrap/>
        <w:overflowPunct/>
        <w:topLinePunct w:val="0"/>
        <w:autoSpaceDE/>
        <w:autoSpaceDN/>
        <w:bidi w:val="0"/>
        <w:adjustRightInd/>
        <w:snapToGrid/>
        <w:spacing w:before="0" w:beforeLines="0" w:after="0" w:line="580" w:lineRule="exact"/>
        <w:ind w:left="0" w:leftChars="0" w:right="0" w:rightChars="0" w:firstLine="0" w:firstLineChars="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both"/>
        <w:textAlignment w:val="auto"/>
        <w:outlineLvl w:val="0"/>
        <w:rPr>
          <w:rFonts w:hint="eastAsia" w:ascii="CESI黑体-GB2312" w:hAnsi="CESI黑体-GB2312" w:eastAsia="CESI黑体-GB2312" w:cs="CESI黑体-GB2312"/>
          <w:color w:val="auto"/>
          <w:sz w:val="32"/>
          <w:szCs w:val="32"/>
          <w:highlight w:val="none"/>
          <w:lang w:val="en-US" w:eastAsia="zh-CN"/>
        </w:rPr>
      </w:pPr>
      <w:r>
        <w:rPr>
          <w:rFonts w:hint="eastAsia" w:ascii="CESI黑体-GB2312" w:hAnsi="CESI黑体-GB2312" w:eastAsia="CESI黑体-GB2312" w:cs="CESI黑体-GB2312"/>
          <w:color w:val="auto"/>
          <w:sz w:val="32"/>
          <w:szCs w:val="32"/>
          <w:highlight w:val="none"/>
          <w:lang w:eastAsia="zh-CN"/>
        </w:rPr>
        <w:t>附件</w:t>
      </w:r>
      <w:r>
        <w:rPr>
          <w:rFonts w:hint="eastAsia" w:ascii="CESI黑体-GB2312" w:hAnsi="CESI黑体-GB2312" w:eastAsia="CESI黑体-GB2312" w:cs="CESI黑体-GB2312"/>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outlineLvl w:val="0"/>
        <w:rPr>
          <w:rFonts w:hint="eastAsia" w:ascii="方正小标宋_GBK" w:hAnsi="方正小标宋_GBK" w:eastAsia="方正小标宋_GBK" w:cs="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outlineLvl w:val="0"/>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山西省存量新能源</w:t>
      </w:r>
      <w:r>
        <w:rPr>
          <w:rFonts w:hint="eastAsia" w:ascii="方正小标宋_GBK" w:hAnsi="方正小标宋_GBK" w:eastAsia="方正小标宋_GBK" w:cs="方正小标宋_GBK"/>
          <w:color w:val="auto"/>
          <w:sz w:val="44"/>
          <w:szCs w:val="44"/>
          <w:highlight w:val="none"/>
          <w:lang w:val="en-US" w:eastAsia="zh-CN"/>
        </w:rPr>
        <w:t>项目机制电价</w:t>
      </w:r>
      <w:r>
        <w:rPr>
          <w:rFonts w:hint="eastAsia" w:ascii="方正小标宋_GBK" w:hAnsi="方正小标宋_GBK" w:eastAsia="方正小标宋_GBK" w:cs="方正小标宋_GBK"/>
          <w:color w:val="auto"/>
          <w:sz w:val="44"/>
          <w:szCs w:val="44"/>
          <w:highlight w:val="none"/>
        </w:rPr>
        <w:t>实施细则</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center"/>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第一条 </w:t>
      </w:r>
      <w:r>
        <w:rPr>
          <w:rFonts w:hint="eastAsia" w:ascii="方正仿宋_GBK" w:hAnsi="方正仿宋_GBK" w:eastAsia="方正仿宋_GBK" w:cs="方正仿宋_GBK"/>
          <w:color w:val="auto"/>
          <w:sz w:val="32"/>
          <w:szCs w:val="32"/>
          <w:highlight w:val="none"/>
          <w:lang w:val="en-US" w:eastAsia="zh-CN"/>
        </w:rPr>
        <w:t>为深化新能源上网电价市场化改革，推动新能源高质量发展，依据《关于深化新能源上网电价市场化改革 促进新能源高质量发展的通知》（发改价格〔2025〕136号）、《关于促进非水可再生能源发电健康发展的若干意见》（财建〔2020〕4号）、《关于&lt;关于促进非水可再生能源发电健康发展的若干意见&gt;有关事项的补充通知》（</w:t>
      </w:r>
      <w:r>
        <w:rPr>
          <w:rFonts w:hint="eastAsia" w:ascii="方正仿宋_GBK" w:hAnsi="方正仿宋_GBK" w:eastAsia="方正仿宋_GBK" w:cs="方正仿宋_GBK"/>
          <w:color w:val="auto"/>
          <w:sz w:val="32"/>
          <w:szCs w:val="32"/>
          <w:highlight w:val="none"/>
        </w:rPr>
        <w:t>财建〔2020〕426号</w:t>
      </w:r>
      <w:r>
        <w:rPr>
          <w:rFonts w:hint="eastAsia" w:ascii="方正仿宋_GBK" w:hAnsi="方正仿宋_GBK" w:eastAsia="方正仿宋_GBK" w:cs="方正仿宋_GBK"/>
          <w:color w:val="auto"/>
          <w:sz w:val="32"/>
          <w:szCs w:val="32"/>
          <w:highlight w:val="none"/>
          <w:lang w:val="en-US" w:eastAsia="zh-CN"/>
        </w:rPr>
        <w:t>）、《山西省关于深化新能源上网电价市场化改革 促进新能源高质量发展的实施方案》（晋发改商品发〔2025〕****号）等文件精神，结合山西实际，制定本细则。</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第二条 </w:t>
      </w:r>
      <w:r>
        <w:rPr>
          <w:rFonts w:hint="eastAsia" w:ascii="方正仿宋_GBK" w:hAnsi="方正仿宋_GBK" w:eastAsia="方正仿宋_GBK" w:cs="方正仿宋_GBK"/>
          <w:color w:val="auto"/>
          <w:sz w:val="32"/>
          <w:szCs w:val="32"/>
          <w:highlight w:val="none"/>
          <w:lang w:val="en-US" w:eastAsia="zh-CN"/>
        </w:rPr>
        <w:t>本细则适用于山西省行政区域内2025年6月1日（不含）以前投产的新能源项目（以下简称“存量项目”），不含</w:t>
      </w:r>
      <w:r>
        <w:rPr>
          <w:rFonts w:hint="eastAsia" w:ascii="方正仿宋_GBK" w:hAnsi="方正仿宋_GBK" w:eastAsia="方正仿宋_GBK" w:cs="方正仿宋_GBK"/>
          <w:color w:val="auto"/>
          <w:sz w:val="32"/>
          <w:szCs w:val="32"/>
          <w:highlight w:val="none"/>
        </w:rPr>
        <w:t>外送通道配套新能源项目</w:t>
      </w:r>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CESI仿宋-GB2312" w:hAnsi="CESI仿宋-GB2312" w:eastAsia="CESI仿宋-GB2312" w:cs="CESI仿宋-GB2312"/>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第三条 </w:t>
      </w:r>
      <w:r>
        <w:rPr>
          <w:rFonts w:hint="eastAsia" w:ascii="方正仿宋_GBK" w:hAnsi="方正仿宋_GBK" w:eastAsia="方正仿宋_GBK" w:cs="方正仿宋_GBK"/>
          <w:color w:val="auto"/>
          <w:sz w:val="32"/>
          <w:szCs w:val="32"/>
          <w:highlight w:val="none"/>
          <w:lang w:val="en-US" w:eastAsia="zh-CN"/>
        </w:rPr>
        <w:t>本细则所称机制电价指新能源参与电力市场交易后，在市场外建立差价结算机制的电价水平。机制电量指纳入机制的新能源电量规模。执行期限指新能源机制电价执行时间。</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第四条 </w:t>
      </w:r>
      <w:r>
        <w:rPr>
          <w:rFonts w:hint="eastAsia" w:ascii="方正仿宋_GBK" w:hAnsi="方正仿宋_GBK" w:eastAsia="方正仿宋_GBK" w:cs="方正仿宋_GBK"/>
          <w:color w:val="auto"/>
          <w:sz w:val="32"/>
          <w:szCs w:val="32"/>
          <w:highlight w:val="none"/>
          <w:lang w:val="en-US" w:eastAsia="zh-CN"/>
        </w:rPr>
        <w:t>本细则所称新能源项目主要包括集中式光伏、集中式风电、分布式光伏、分散式风电等。</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第五条 </w:t>
      </w:r>
      <w:r>
        <w:rPr>
          <w:rFonts w:hint="eastAsia" w:ascii="方正仿宋_GBK" w:hAnsi="方正仿宋_GBK" w:eastAsia="方正仿宋_GBK" w:cs="方正仿宋_GBK"/>
          <w:color w:val="auto"/>
          <w:sz w:val="32"/>
          <w:szCs w:val="32"/>
          <w:highlight w:val="none"/>
          <w:lang w:val="en-US" w:eastAsia="zh-CN"/>
        </w:rPr>
        <w:t>本细则所称投产指新能源项目原则上按照核准（备案）文件载明的建设容量全部建成并网（即全容量并网）。</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第六条 </w:t>
      </w:r>
      <w:r>
        <w:rPr>
          <w:rFonts w:hint="eastAsia" w:ascii="方正仿宋_GBK" w:hAnsi="方正仿宋_GBK" w:eastAsia="方正仿宋_GBK" w:cs="方正仿宋_GBK"/>
          <w:color w:val="auto"/>
          <w:sz w:val="32"/>
          <w:szCs w:val="32"/>
          <w:highlight w:val="none"/>
        </w:rPr>
        <w:t>存量新能源项目机制电价</w:t>
      </w:r>
      <w:r>
        <w:rPr>
          <w:rFonts w:hint="eastAsia" w:ascii="方正仿宋_GBK" w:hAnsi="方正仿宋_GBK" w:eastAsia="方正仿宋_GBK" w:cs="方正仿宋_GBK"/>
          <w:color w:val="auto"/>
          <w:sz w:val="32"/>
          <w:szCs w:val="32"/>
          <w:highlight w:val="none"/>
          <w:lang w:eastAsia="zh-CN"/>
        </w:rPr>
        <w:t>实施</w:t>
      </w:r>
      <w:r>
        <w:rPr>
          <w:rFonts w:hint="eastAsia" w:ascii="方正仿宋_GBK" w:hAnsi="方正仿宋_GBK" w:eastAsia="方正仿宋_GBK" w:cs="方正仿宋_GBK"/>
          <w:color w:val="auto"/>
          <w:sz w:val="32"/>
          <w:szCs w:val="32"/>
          <w:highlight w:val="none"/>
        </w:rPr>
        <w:t>工作由</w:t>
      </w:r>
      <w:r>
        <w:rPr>
          <w:rFonts w:hint="eastAsia" w:ascii="方正仿宋_GBK" w:hAnsi="方正仿宋_GBK" w:eastAsia="方正仿宋_GBK" w:cs="方正仿宋_GBK"/>
          <w:color w:val="auto"/>
          <w:kern w:val="2"/>
          <w:sz w:val="32"/>
          <w:szCs w:val="32"/>
          <w:highlight w:val="none"/>
        </w:rPr>
        <w:t>省发展改革委会同省能源局</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eastAsia="zh-CN"/>
        </w:rPr>
        <w:t>山西能源监管办</w:t>
      </w:r>
      <w:r>
        <w:rPr>
          <w:rFonts w:hint="eastAsia" w:ascii="方正仿宋_GBK" w:hAnsi="方正仿宋_GBK" w:eastAsia="方正仿宋_GBK" w:cs="方正仿宋_GBK"/>
          <w:color w:val="auto"/>
          <w:kern w:val="2"/>
          <w:sz w:val="32"/>
          <w:szCs w:val="32"/>
          <w:highlight w:val="none"/>
        </w:rPr>
        <w:t>牵头组织，省电力公司负责</w:t>
      </w:r>
      <w:r>
        <w:rPr>
          <w:rFonts w:hint="eastAsia" w:ascii="方正仿宋_GBK" w:hAnsi="方正仿宋_GBK" w:eastAsia="方正仿宋_GBK" w:cs="方正仿宋_GBK"/>
          <w:color w:val="auto"/>
          <w:kern w:val="2"/>
          <w:sz w:val="32"/>
          <w:szCs w:val="32"/>
          <w:highlight w:val="none"/>
          <w:lang w:eastAsia="zh-CN"/>
        </w:rPr>
        <w:t>具体组织实施</w:t>
      </w:r>
      <w:r>
        <w:rPr>
          <w:rFonts w:hint="eastAsia" w:ascii="方正仿宋_GBK" w:hAnsi="方正仿宋_GBK" w:eastAsia="方正仿宋_GBK" w:cs="方正仿宋_GBK"/>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both"/>
        <w:textAlignment w:val="auto"/>
        <w:outlineLvl w:val="9"/>
        <w:rPr>
          <w:rFonts w:hint="eastAsia" w:ascii="CESI仿宋-GB2312" w:hAnsi="CESI仿宋-GB2312" w:eastAsia="CESI仿宋-GB2312" w:cs="CESI仿宋-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第二章 项目认定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第七条 </w:t>
      </w:r>
      <w:r>
        <w:rPr>
          <w:rFonts w:hint="eastAsia" w:ascii="方正仿宋_GBK" w:hAnsi="方正仿宋_GBK" w:eastAsia="方正仿宋_GBK" w:cs="方正仿宋_GBK"/>
          <w:color w:val="auto"/>
          <w:sz w:val="32"/>
          <w:szCs w:val="32"/>
          <w:highlight w:val="none"/>
          <w:lang w:val="en-US" w:eastAsia="zh-CN"/>
        </w:rPr>
        <w:t>存量项目区分集中式风电、光伏，分布式光伏，分散式风电分别审核认定。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第八条 </w:t>
      </w:r>
      <w:r>
        <w:rPr>
          <w:rFonts w:hint="eastAsia" w:ascii="方正仿宋_GBK" w:hAnsi="方正仿宋_GBK" w:eastAsia="方正仿宋_GBK" w:cs="方正仿宋_GBK"/>
          <w:b w:val="0"/>
          <w:bCs w:val="0"/>
          <w:color w:val="auto"/>
          <w:sz w:val="32"/>
          <w:szCs w:val="32"/>
          <w:highlight w:val="none"/>
          <w:lang w:val="en-US" w:eastAsia="zh-CN"/>
        </w:rPr>
        <w:t>审核认定工作按照发布公告、企业申报、电网审核、项目公示、结果公布程序组织。</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第九条 </w:t>
      </w:r>
      <w:r>
        <w:rPr>
          <w:rFonts w:hint="eastAsia" w:ascii="方正仿宋_GBK" w:hAnsi="方正仿宋_GBK" w:eastAsia="方正仿宋_GBK" w:cs="方正仿宋_GBK"/>
          <w:color w:val="auto"/>
          <w:sz w:val="32"/>
          <w:szCs w:val="32"/>
          <w:highlight w:val="none"/>
          <w:lang w:val="en-US" w:eastAsia="zh-CN"/>
        </w:rPr>
        <w:t>拟申报纳入存量项目的企业应按规定提交核准（备案）文件、电力业务许可证（豁免项目除外）、营业执照、购售电合同、调度并网协议等。</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第十条 </w:t>
      </w:r>
      <w:r>
        <w:rPr>
          <w:rFonts w:hint="eastAsia" w:ascii="方正仿宋_GBK" w:hAnsi="方正仿宋_GBK" w:eastAsia="方正仿宋_GBK" w:cs="方正仿宋_GBK"/>
          <w:b w:val="0"/>
          <w:bCs w:val="0"/>
          <w:color w:val="auto"/>
          <w:sz w:val="32"/>
          <w:szCs w:val="32"/>
          <w:highlight w:val="none"/>
          <w:lang w:val="en-US" w:eastAsia="zh-CN"/>
        </w:rPr>
        <w:t>集中式风电、光伏</w:t>
      </w:r>
      <w:r>
        <w:rPr>
          <w:rFonts w:hint="eastAsia" w:ascii="方正仿宋_GBK" w:hAnsi="方正仿宋_GBK" w:eastAsia="方正仿宋_GBK" w:cs="方正仿宋_GBK"/>
          <w:color w:val="auto"/>
          <w:sz w:val="32"/>
          <w:szCs w:val="32"/>
          <w:highlight w:val="none"/>
          <w:lang w:val="en-US" w:eastAsia="zh-CN"/>
        </w:rPr>
        <w:t>投产按以下原则认定：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left"/>
        <w:textAlignment w:val="auto"/>
        <w:outlineLvl w:val="1"/>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集中式风电、光伏主要依据项目</w:t>
      </w:r>
      <w:r>
        <w:rPr>
          <w:rFonts w:hint="eastAsia" w:ascii="方正仿宋_GBK" w:hAnsi="方正仿宋_GBK" w:eastAsia="方正仿宋_GBK" w:cs="方正仿宋_GBK"/>
          <w:color w:val="auto"/>
          <w:sz w:val="32"/>
          <w:szCs w:val="32"/>
          <w:highlight w:val="none"/>
          <w:lang w:val="en-US" w:eastAsia="zh-CN"/>
        </w:rPr>
        <w:t>核准（备案）文件和电力业务许可证认定。</w:t>
      </w:r>
      <w:r>
        <w:rPr>
          <w:rFonts w:hint="eastAsia" w:ascii="方正仿宋_GBK" w:hAnsi="方正仿宋_GBK" w:eastAsia="方正仿宋_GBK" w:cs="方正仿宋_GBK"/>
          <w:b w:val="0"/>
          <w:bCs w:val="0"/>
          <w:color w:val="auto"/>
          <w:sz w:val="32"/>
          <w:szCs w:val="32"/>
          <w:highlight w:val="none"/>
          <w:lang w:val="en-US" w:eastAsia="zh-CN"/>
        </w:rPr>
        <w:t>单个项目</w:t>
      </w:r>
      <w:r>
        <w:rPr>
          <w:rFonts w:hint="eastAsia" w:ascii="方正仿宋_GBK" w:hAnsi="方正仿宋_GBK" w:eastAsia="方正仿宋_GBK" w:cs="方正仿宋_GBK"/>
          <w:color w:val="auto"/>
          <w:sz w:val="32"/>
          <w:szCs w:val="32"/>
          <w:highlight w:val="none"/>
          <w:lang w:val="en-US" w:eastAsia="zh-CN"/>
        </w:rPr>
        <w:t>分批次办理电力业务许可证的，</w:t>
      </w:r>
      <w:r>
        <w:rPr>
          <w:rFonts w:hint="eastAsia" w:ascii="方正仿宋_GBK" w:hAnsi="方正仿宋_GBK" w:eastAsia="方正仿宋_GBK" w:cs="方正仿宋_GBK"/>
          <w:b w:val="0"/>
          <w:bCs w:val="0"/>
          <w:color w:val="auto"/>
          <w:sz w:val="32"/>
          <w:szCs w:val="32"/>
          <w:highlight w:val="none"/>
          <w:lang w:val="en-US" w:eastAsia="zh-CN"/>
        </w:rPr>
        <w:t>以最后取得的电力业务许可证载明的投产时间作为其全容量并网时间，投产容量</w:t>
      </w:r>
      <w:r>
        <w:rPr>
          <w:rFonts w:hint="eastAsia" w:ascii="方正仿宋_GBK" w:hAnsi="方正仿宋_GBK" w:eastAsia="方正仿宋_GBK" w:cs="方正仿宋_GBK"/>
          <w:color w:val="auto"/>
          <w:sz w:val="32"/>
          <w:szCs w:val="32"/>
          <w:highlight w:val="none"/>
          <w:lang w:val="en-US" w:eastAsia="zh-CN"/>
        </w:rPr>
        <w:t>为电力业务许可证载明的累计容量</w:t>
      </w:r>
      <w:r>
        <w:rPr>
          <w:rFonts w:hint="eastAsia" w:ascii="方正仿宋_GBK" w:hAnsi="方正仿宋_GBK" w:eastAsia="方正仿宋_GBK" w:cs="方正仿宋_GBK"/>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9"/>
        <w:rPr>
          <w:rFonts w:hint="eastAsia" w:ascii="CESI仿宋-GB2312" w:hAnsi="CESI仿宋-GB2312" w:eastAsia="CESI仿宋-GB2312" w:cs="CESI仿宋-GB2312"/>
          <w:b w:val="0"/>
          <w:bCs w:val="0"/>
          <w:color w:val="auto"/>
          <w:sz w:val="32"/>
          <w:szCs w:val="32"/>
          <w:highlight w:val="yellow"/>
          <w:lang w:val="en-US" w:eastAsia="zh-CN"/>
        </w:rPr>
      </w:pPr>
      <w:r>
        <w:rPr>
          <w:rFonts w:hint="eastAsia" w:ascii="方正仿宋_GBK" w:hAnsi="方正仿宋_GBK" w:eastAsia="方正仿宋_GBK" w:cs="方正仿宋_GBK"/>
          <w:b w:val="0"/>
          <w:bCs w:val="0"/>
          <w:color w:val="auto"/>
          <w:sz w:val="32"/>
          <w:szCs w:val="32"/>
          <w:highlight w:val="none"/>
          <w:lang w:val="en-US" w:eastAsia="zh-CN"/>
        </w:rPr>
        <w:t>其中，</w:t>
      </w:r>
      <w:r>
        <w:rPr>
          <w:rFonts w:hint="eastAsia" w:ascii="方正仿宋_GBK" w:hAnsi="方正仿宋_GBK" w:eastAsia="方正仿宋_GBK" w:cs="方正仿宋_GBK"/>
          <w:color w:val="auto"/>
          <w:sz w:val="32"/>
          <w:szCs w:val="32"/>
          <w:highlight w:val="none"/>
          <w:lang w:val="en-US" w:eastAsia="zh-CN"/>
        </w:rPr>
        <w:t>核准（备案）文件载明的建设容量与电力业务许可证载明的机组容量一致且电力业务许可证载明的</w:t>
      </w:r>
      <w:r>
        <w:rPr>
          <w:rFonts w:hint="eastAsia" w:ascii="方正仿宋_GBK" w:hAnsi="方正仿宋_GBK" w:eastAsia="方正仿宋_GBK" w:cs="方正仿宋_GBK"/>
          <w:color w:val="auto"/>
          <w:sz w:val="32"/>
          <w:szCs w:val="32"/>
          <w:highlight w:val="none"/>
          <w:lang w:eastAsia="zh-CN"/>
        </w:rPr>
        <w:t>机组投产时间为</w:t>
      </w:r>
      <w:r>
        <w:rPr>
          <w:rFonts w:hint="eastAsia" w:ascii="方正仿宋_GBK" w:hAnsi="方正仿宋_GBK" w:eastAsia="方正仿宋_GBK" w:cs="方正仿宋_GBK"/>
          <w:b w:val="0"/>
          <w:bCs w:val="0"/>
          <w:color w:val="auto"/>
          <w:sz w:val="32"/>
          <w:szCs w:val="32"/>
          <w:highlight w:val="none"/>
          <w:lang w:val="en-US" w:eastAsia="zh-CN"/>
        </w:rPr>
        <w:t>2025年6月1日（不含）以前的，认定为存量项目。</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left"/>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核准（备案）文件载明的建设容量大于电力业务许可证载明的机组容量且电力业务许可证载明的</w:t>
      </w:r>
      <w:r>
        <w:rPr>
          <w:rFonts w:hint="eastAsia" w:ascii="方正仿宋_GBK" w:hAnsi="方正仿宋_GBK" w:eastAsia="方正仿宋_GBK" w:cs="方正仿宋_GBK"/>
          <w:color w:val="auto"/>
          <w:sz w:val="32"/>
          <w:szCs w:val="32"/>
          <w:highlight w:val="none"/>
          <w:lang w:eastAsia="zh-CN"/>
        </w:rPr>
        <w:t>机组投产时间为</w:t>
      </w:r>
      <w:r>
        <w:rPr>
          <w:rFonts w:hint="eastAsia" w:ascii="方正仿宋_GBK" w:hAnsi="方正仿宋_GBK" w:eastAsia="方正仿宋_GBK" w:cs="方正仿宋_GBK"/>
          <w:b w:val="0"/>
          <w:bCs w:val="0"/>
          <w:color w:val="auto"/>
          <w:sz w:val="32"/>
          <w:szCs w:val="32"/>
          <w:highlight w:val="none"/>
          <w:lang w:val="en-US" w:eastAsia="zh-CN"/>
        </w:rPr>
        <w:t>2025年6月1日（不含）以前的，可</w:t>
      </w:r>
      <w:r>
        <w:rPr>
          <w:rFonts w:hint="eastAsia" w:ascii="方正仿宋_GBK" w:hAnsi="方正仿宋_GBK" w:eastAsia="方正仿宋_GBK" w:cs="方正仿宋_GBK"/>
          <w:color w:val="auto"/>
          <w:sz w:val="32"/>
          <w:szCs w:val="32"/>
          <w:highlight w:val="none"/>
          <w:lang w:val="en-US" w:eastAsia="zh-CN"/>
        </w:rPr>
        <w:t>认定为存量项目，容量按照电力业务许可证载明的累计容量确定；也</w:t>
      </w:r>
      <w:r>
        <w:rPr>
          <w:rFonts w:hint="eastAsia" w:ascii="方正仿宋_GBK" w:hAnsi="方正仿宋_GBK" w:eastAsia="方正仿宋_GBK" w:cs="方正仿宋_GBK"/>
          <w:b w:val="0"/>
          <w:bCs w:val="0"/>
          <w:color w:val="auto"/>
          <w:sz w:val="32"/>
          <w:szCs w:val="32"/>
          <w:highlight w:val="none"/>
          <w:lang w:val="en-US" w:eastAsia="zh-CN"/>
        </w:rPr>
        <w:t>可由企业自主选择放弃纳入存量项目，在核准文件载明的建设容量全部并网后按增量项目政策执行。</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left"/>
        <w:textAlignment w:val="auto"/>
        <w:outlineLvl w:val="1"/>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2025年6月1日（不含）以前已并网发电但尚未取得电力业务许可证的项目，可适当放宽提供电力业务许可证的期限，原则上自发布公告之日起不超过6个月。企业对具体投产时间和提交电力业务许可证的日期作出承诺后，可认定为待定存量项目，待企业按期提交电力业务许可证后，按前款原则审核认定。逾期未提交电力业务许可证的，认定为增量项目。认定为增量项目的相应扣减已结算机制电费。</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 xml:space="preserve">第十一条 </w:t>
      </w:r>
      <w:r>
        <w:rPr>
          <w:rFonts w:hint="eastAsia" w:ascii="方正仿宋_GBK" w:hAnsi="方正仿宋_GBK" w:eastAsia="方正仿宋_GBK" w:cs="方正仿宋_GBK"/>
          <w:b w:val="0"/>
          <w:bCs w:val="0"/>
          <w:color w:val="auto"/>
          <w:sz w:val="32"/>
          <w:szCs w:val="32"/>
          <w:highlight w:val="none"/>
          <w:lang w:val="en-US" w:eastAsia="zh-CN"/>
        </w:rPr>
        <w:t>分布式光伏按照</w:t>
      </w:r>
      <w:r>
        <w:rPr>
          <w:rFonts w:hint="eastAsia" w:ascii="方正仿宋_GBK" w:hAnsi="方正仿宋_GBK" w:eastAsia="方正仿宋_GBK" w:cs="方正仿宋_GBK"/>
          <w:color w:val="auto"/>
          <w:sz w:val="32"/>
          <w:szCs w:val="32"/>
          <w:highlight w:val="none"/>
        </w:rPr>
        <w:t>电网企业信息系统中</w:t>
      </w:r>
      <w:r>
        <w:rPr>
          <w:rFonts w:hint="eastAsia" w:ascii="方正仿宋_GBK" w:hAnsi="方正仿宋_GBK" w:eastAsia="方正仿宋_GBK" w:cs="方正仿宋_GBK"/>
          <w:color w:val="auto"/>
          <w:sz w:val="32"/>
          <w:szCs w:val="32"/>
          <w:highlight w:val="none"/>
          <w:lang w:eastAsia="zh-CN"/>
        </w:rPr>
        <w:t>记录</w:t>
      </w:r>
      <w:r>
        <w:rPr>
          <w:rFonts w:hint="eastAsia" w:ascii="方正仿宋_GBK" w:hAnsi="方正仿宋_GBK" w:eastAsia="方正仿宋_GBK" w:cs="方正仿宋_GBK"/>
          <w:color w:val="auto"/>
          <w:sz w:val="32"/>
          <w:szCs w:val="32"/>
          <w:highlight w:val="none"/>
        </w:rPr>
        <w:t>的</w:t>
      </w:r>
      <w:r>
        <w:rPr>
          <w:rFonts w:hint="eastAsia" w:ascii="方正仿宋_GBK" w:hAnsi="方正仿宋_GBK" w:eastAsia="方正仿宋_GBK" w:cs="方正仿宋_GBK"/>
          <w:color w:val="auto"/>
          <w:sz w:val="32"/>
          <w:szCs w:val="32"/>
          <w:highlight w:val="none"/>
          <w:lang w:eastAsia="zh-CN"/>
        </w:rPr>
        <w:t>信息</w:t>
      </w:r>
      <w:r>
        <w:rPr>
          <w:rFonts w:hint="eastAsia" w:ascii="方正仿宋_GBK" w:hAnsi="方正仿宋_GBK" w:eastAsia="方正仿宋_GBK" w:cs="方正仿宋_GBK"/>
          <w:color w:val="auto"/>
          <w:sz w:val="32"/>
          <w:szCs w:val="32"/>
          <w:highlight w:val="none"/>
          <w:lang w:val="en-US" w:eastAsia="zh-CN"/>
        </w:rPr>
        <w:t>认定。其中，信息系统中记录的投产时间为</w:t>
      </w:r>
      <w:r>
        <w:rPr>
          <w:rFonts w:hint="eastAsia" w:ascii="方正仿宋_GBK" w:hAnsi="方正仿宋_GBK" w:eastAsia="方正仿宋_GBK" w:cs="方正仿宋_GBK"/>
          <w:b w:val="0"/>
          <w:bCs w:val="0"/>
          <w:color w:val="auto"/>
          <w:sz w:val="32"/>
          <w:szCs w:val="32"/>
          <w:highlight w:val="none"/>
          <w:lang w:val="en-US" w:eastAsia="zh-CN"/>
        </w:rPr>
        <w:t>2025年6月1日（不含）以前的，认定为存量项目。</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第十二条 </w:t>
      </w:r>
      <w:r>
        <w:rPr>
          <w:rFonts w:hint="eastAsia" w:ascii="方正仿宋_GBK" w:hAnsi="方正仿宋_GBK" w:eastAsia="方正仿宋_GBK" w:cs="方正仿宋_GBK"/>
          <w:b w:val="0"/>
          <w:bCs w:val="0"/>
          <w:color w:val="auto"/>
          <w:sz w:val="32"/>
          <w:szCs w:val="32"/>
          <w:highlight w:val="none"/>
          <w:lang w:val="en-US" w:eastAsia="zh-CN"/>
        </w:rPr>
        <w:t>分散式风电按照</w:t>
      </w:r>
      <w:r>
        <w:rPr>
          <w:rFonts w:hint="eastAsia" w:ascii="方正仿宋_GBK" w:hAnsi="方正仿宋_GBK" w:eastAsia="方正仿宋_GBK" w:cs="方正仿宋_GBK"/>
          <w:color w:val="auto"/>
          <w:sz w:val="32"/>
          <w:szCs w:val="32"/>
          <w:highlight w:val="none"/>
          <w:lang w:eastAsia="zh-CN"/>
        </w:rPr>
        <w:t>并网调度协议记载</w:t>
      </w:r>
      <w:r>
        <w:rPr>
          <w:rFonts w:hint="eastAsia" w:ascii="方正仿宋_GBK" w:hAnsi="方正仿宋_GBK" w:eastAsia="方正仿宋_GBK" w:cs="方正仿宋_GBK"/>
          <w:color w:val="auto"/>
          <w:sz w:val="32"/>
          <w:szCs w:val="32"/>
          <w:highlight w:val="none"/>
        </w:rPr>
        <w:t>的</w:t>
      </w:r>
      <w:r>
        <w:rPr>
          <w:rFonts w:hint="eastAsia" w:ascii="方正仿宋_GBK" w:hAnsi="方正仿宋_GBK" w:eastAsia="方正仿宋_GBK" w:cs="方正仿宋_GBK"/>
          <w:color w:val="auto"/>
          <w:sz w:val="32"/>
          <w:szCs w:val="32"/>
          <w:highlight w:val="none"/>
          <w:lang w:eastAsia="zh-CN"/>
        </w:rPr>
        <w:t>信息</w:t>
      </w:r>
      <w:r>
        <w:rPr>
          <w:rFonts w:hint="eastAsia" w:ascii="方正仿宋_GBK" w:hAnsi="方正仿宋_GBK" w:eastAsia="方正仿宋_GBK" w:cs="方正仿宋_GBK"/>
          <w:color w:val="auto"/>
          <w:sz w:val="32"/>
          <w:szCs w:val="32"/>
          <w:highlight w:val="none"/>
          <w:lang w:val="en-US" w:eastAsia="zh-CN"/>
        </w:rPr>
        <w:t>认定。其中，</w:t>
      </w:r>
      <w:r>
        <w:rPr>
          <w:rFonts w:hint="eastAsia" w:ascii="方正仿宋_GBK" w:hAnsi="方正仿宋_GBK" w:eastAsia="方正仿宋_GBK" w:cs="方正仿宋_GBK"/>
          <w:color w:val="auto"/>
          <w:sz w:val="32"/>
          <w:szCs w:val="32"/>
          <w:highlight w:val="none"/>
          <w:lang w:eastAsia="zh-CN"/>
        </w:rPr>
        <w:t>并网调度协议记载</w:t>
      </w:r>
      <w:r>
        <w:rPr>
          <w:rFonts w:hint="eastAsia" w:ascii="方正仿宋_GBK" w:hAnsi="方正仿宋_GBK" w:eastAsia="方正仿宋_GBK" w:cs="方正仿宋_GBK"/>
          <w:color w:val="auto"/>
          <w:sz w:val="32"/>
          <w:szCs w:val="32"/>
          <w:highlight w:val="none"/>
        </w:rPr>
        <w:t>的</w:t>
      </w:r>
      <w:r>
        <w:rPr>
          <w:rFonts w:hint="eastAsia" w:ascii="方正仿宋_GBK" w:hAnsi="方正仿宋_GBK" w:eastAsia="方正仿宋_GBK" w:cs="方正仿宋_GBK"/>
          <w:color w:val="auto"/>
          <w:sz w:val="32"/>
          <w:szCs w:val="32"/>
          <w:highlight w:val="none"/>
          <w:lang w:val="en-US" w:eastAsia="zh-CN"/>
        </w:rPr>
        <w:t>投产时间为</w:t>
      </w:r>
      <w:r>
        <w:rPr>
          <w:rFonts w:hint="eastAsia" w:ascii="方正仿宋_GBK" w:hAnsi="方正仿宋_GBK" w:eastAsia="方正仿宋_GBK" w:cs="方正仿宋_GBK"/>
          <w:b w:val="0"/>
          <w:bCs w:val="0"/>
          <w:color w:val="auto"/>
          <w:sz w:val="32"/>
          <w:szCs w:val="32"/>
          <w:highlight w:val="none"/>
          <w:lang w:val="en-US" w:eastAsia="zh-CN"/>
        </w:rPr>
        <w:t>2025年6月1日（不含）以前的，认定为存量项目。</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both"/>
        <w:textAlignment w:val="auto"/>
        <w:outlineLvl w:val="9"/>
        <w:rPr>
          <w:rFonts w:hint="eastAsia" w:ascii="CESI仿宋-GB2312" w:hAnsi="CESI仿宋-GB2312" w:eastAsia="CESI仿宋-GB2312" w:cs="CESI仿宋-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第三章 机制电量</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第十三条 </w:t>
      </w:r>
      <w:r>
        <w:rPr>
          <w:rFonts w:hint="eastAsia" w:ascii="方正仿宋_GBK" w:hAnsi="方正仿宋_GBK" w:eastAsia="方正仿宋_GBK" w:cs="方正仿宋_GBK"/>
          <w:color w:val="auto"/>
          <w:sz w:val="32"/>
          <w:szCs w:val="32"/>
          <w:highlight w:val="none"/>
          <w:lang w:val="en-US" w:eastAsia="zh-CN"/>
        </w:rPr>
        <w:t>机制电量规模按照与现行具有保障性质的相关电量规模政策妥善衔接确定。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第十四条 </w:t>
      </w:r>
      <w:r>
        <w:rPr>
          <w:rFonts w:hint="eastAsia" w:ascii="方正仿宋_GBK" w:hAnsi="方正仿宋_GBK" w:eastAsia="方正仿宋_GBK" w:cs="方正仿宋_GBK"/>
          <w:color w:val="auto"/>
          <w:sz w:val="32"/>
          <w:szCs w:val="32"/>
          <w:highlight w:val="none"/>
          <w:lang w:val="en-US" w:eastAsia="zh-CN"/>
        </w:rPr>
        <w:t>新能源项目机制电量按照其上网电量乘以其</w:t>
      </w:r>
      <w:r>
        <w:rPr>
          <w:rFonts w:hint="eastAsia" w:ascii="方正仿宋_GBK" w:hAnsi="方正仿宋_GBK" w:eastAsia="方正仿宋_GBK" w:cs="方正仿宋_GBK"/>
          <w:b w:val="0"/>
          <w:bCs w:val="0"/>
          <w:color w:val="auto"/>
          <w:sz w:val="32"/>
          <w:szCs w:val="32"/>
          <w:highlight w:val="none"/>
          <w:lang w:val="en-US" w:eastAsia="zh-CN"/>
        </w:rPr>
        <w:t>机制电量比例</w:t>
      </w:r>
      <w:r>
        <w:rPr>
          <w:rFonts w:hint="eastAsia" w:ascii="方正仿宋_GBK" w:hAnsi="方正仿宋_GBK" w:eastAsia="方正仿宋_GBK" w:cs="方正仿宋_GBK"/>
          <w:color w:val="auto"/>
          <w:sz w:val="32"/>
          <w:szCs w:val="32"/>
          <w:highlight w:val="none"/>
          <w:lang w:val="en-US" w:eastAsia="zh-CN"/>
        </w:rPr>
        <w:t>确定。</w:t>
      </w:r>
      <w:r>
        <w:rPr>
          <w:rFonts w:hint="eastAsia" w:ascii="方正仿宋_GBK" w:hAnsi="方正仿宋_GBK" w:eastAsia="方正仿宋_GBK" w:cs="方正仿宋_GBK"/>
          <w:color w:val="auto"/>
          <w:sz w:val="32"/>
          <w:szCs w:val="32"/>
          <w:highlight w:val="none"/>
          <w:lang w:eastAsia="zh-CN" w:bidi="ar"/>
        </w:rPr>
        <w:t>已签订绿色电力交易合约的新能源项目，</w:t>
      </w:r>
      <w:r>
        <w:rPr>
          <w:rFonts w:hint="eastAsia" w:ascii="方正仿宋_GBK" w:hAnsi="方正仿宋_GBK" w:eastAsia="方正仿宋_GBK" w:cs="方正仿宋_GBK"/>
          <w:color w:val="auto"/>
          <w:sz w:val="32"/>
          <w:szCs w:val="32"/>
          <w:highlight w:val="none"/>
          <w:lang w:val="en-US" w:eastAsia="zh-CN"/>
        </w:rPr>
        <w:t>其当月</w:t>
      </w:r>
      <w:r>
        <w:rPr>
          <w:rFonts w:hint="eastAsia" w:ascii="方正仿宋_GBK" w:hAnsi="方正仿宋_GBK" w:eastAsia="方正仿宋_GBK" w:cs="方正仿宋_GBK"/>
          <w:b w:val="0"/>
          <w:bCs w:val="0"/>
          <w:color w:val="auto"/>
          <w:kern w:val="2"/>
          <w:sz w:val="32"/>
          <w:szCs w:val="32"/>
          <w:highlight w:val="none"/>
          <w:lang w:val="en-US" w:eastAsia="zh-CN" w:bidi="ar-SA"/>
        </w:rPr>
        <w:t>绿色电力交易</w:t>
      </w:r>
      <w:r>
        <w:rPr>
          <w:rFonts w:hint="eastAsia" w:ascii="方正仿宋_GBK" w:hAnsi="方正仿宋_GBK" w:eastAsia="方正仿宋_GBK" w:cs="方正仿宋_GBK"/>
          <w:color w:val="auto"/>
          <w:sz w:val="32"/>
          <w:szCs w:val="32"/>
          <w:highlight w:val="none"/>
          <w:lang w:val="en-US" w:eastAsia="zh-CN"/>
        </w:rPr>
        <w:t>合约电量（含多年、年度、季度交易分解至当月的）超出实际上网电量减去机制电量部分</w:t>
      </w:r>
      <w:r>
        <w:rPr>
          <w:rFonts w:hint="eastAsia" w:ascii="方正仿宋_GBK" w:hAnsi="方正仿宋_GBK" w:eastAsia="方正仿宋_GBK" w:cs="方正仿宋_GBK"/>
          <w:strike w:val="0"/>
          <w:dstrike w:val="0"/>
          <w:color w:val="auto"/>
          <w:sz w:val="32"/>
          <w:szCs w:val="32"/>
          <w:highlight w:val="none"/>
          <w:lang w:val="en-US" w:eastAsia="zh-CN"/>
        </w:rPr>
        <w:t>，于当月从机制电量中</w:t>
      </w:r>
      <w:r>
        <w:rPr>
          <w:rFonts w:hint="eastAsia" w:ascii="方正仿宋_GBK" w:hAnsi="方正仿宋_GBK" w:eastAsia="方正仿宋_GBK" w:cs="方正仿宋_GBK"/>
          <w:color w:val="auto"/>
          <w:sz w:val="32"/>
          <w:szCs w:val="32"/>
          <w:highlight w:val="none"/>
          <w:lang w:val="en-US" w:eastAsia="zh-CN"/>
        </w:rPr>
        <w:t>相应扣减。新签订绿色电力交易合约的新能源项目，其当月</w:t>
      </w:r>
      <w:r>
        <w:rPr>
          <w:rFonts w:hint="eastAsia" w:ascii="方正仿宋_GBK" w:hAnsi="方正仿宋_GBK" w:eastAsia="方正仿宋_GBK" w:cs="方正仿宋_GBK"/>
          <w:b w:val="0"/>
          <w:bCs w:val="0"/>
          <w:color w:val="auto"/>
          <w:kern w:val="2"/>
          <w:sz w:val="32"/>
          <w:szCs w:val="32"/>
          <w:highlight w:val="none"/>
          <w:lang w:val="en-US" w:eastAsia="zh-CN" w:bidi="ar-SA"/>
        </w:rPr>
        <w:t>绿色电力交易</w:t>
      </w:r>
      <w:r>
        <w:rPr>
          <w:rFonts w:hint="eastAsia" w:ascii="方正仿宋_GBK" w:hAnsi="方正仿宋_GBK" w:eastAsia="方正仿宋_GBK" w:cs="方正仿宋_GBK"/>
          <w:color w:val="auto"/>
          <w:sz w:val="32"/>
          <w:szCs w:val="32"/>
          <w:highlight w:val="none"/>
          <w:lang w:val="en-US" w:eastAsia="zh-CN"/>
        </w:rPr>
        <w:t>合约电量（含多年、年度、季度交易分解至当月的）超出实际上网电量减去机制电量部分</w:t>
      </w:r>
      <w:r>
        <w:rPr>
          <w:rFonts w:hint="eastAsia" w:ascii="方正仿宋_GBK" w:hAnsi="方正仿宋_GBK" w:eastAsia="方正仿宋_GBK" w:cs="方正仿宋_GBK"/>
          <w:strike w:val="0"/>
          <w:dstrike w:val="0"/>
          <w:color w:val="auto"/>
          <w:sz w:val="32"/>
          <w:szCs w:val="32"/>
          <w:highlight w:val="none"/>
          <w:lang w:val="en-US" w:eastAsia="zh-CN"/>
        </w:rPr>
        <w:t>，于当月从机制电量中</w:t>
      </w:r>
      <w:r>
        <w:rPr>
          <w:rFonts w:hint="eastAsia" w:ascii="方正仿宋_GBK" w:hAnsi="方正仿宋_GBK" w:eastAsia="方正仿宋_GBK" w:cs="方正仿宋_GBK"/>
          <w:color w:val="auto"/>
          <w:sz w:val="32"/>
          <w:szCs w:val="32"/>
          <w:highlight w:val="none"/>
          <w:lang w:val="en-US" w:eastAsia="zh-CN"/>
        </w:rPr>
        <w:t>相应扣减，后续年度相应扣减机</w:t>
      </w:r>
      <w:r>
        <w:rPr>
          <w:rFonts w:hint="eastAsia" w:ascii="方正仿宋_GBK" w:hAnsi="方正仿宋_GBK" w:eastAsia="方正仿宋_GBK" w:cs="方正仿宋_GBK"/>
          <w:strike w:val="0"/>
          <w:dstrike w:val="0"/>
          <w:color w:val="auto"/>
          <w:sz w:val="32"/>
          <w:szCs w:val="32"/>
          <w:highlight w:val="none"/>
          <w:lang w:val="en-US" w:eastAsia="zh-CN"/>
        </w:rPr>
        <w:t>制电量比例（</w:t>
      </w:r>
      <w:bookmarkStart w:id="25" w:name="OLE_LINK20"/>
      <w:r>
        <w:rPr>
          <w:rFonts w:hint="eastAsia" w:ascii="方正仿宋_GBK" w:hAnsi="方正仿宋_GBK" w:eastAsia="方正仿宋_GBK" w:cs="方正仿宋_GBK"/>
          <w:strike w:val="0"/>
          <w:dstrike w:val="0"/>
          <w:color w:val="auto"/>
          <w:sz w:val="32"/>
          <w:szCs w:val="32"/>
          <w:highlight w:val="none"/>
          <w:lang w:val="en-US" w:eastAsia="zh-CN"/>
        </w:rPr>
        <w:t>跨省跨区</w:t>
      </w:r>
      <w:r>
        <w:rPr>
          <w:rFonts w:hint="eastAsia" w:ascii="方正仿宋_GBK" w:hAnsi="方正仿宋_GBK" w:eastAsia="方正仿宋_GBK" w:cs="方正仿宋_GBK"/>
          <w:b w:val="0"/>
          <w:bCs w:val="0"/>
          <w:color w:val="auto"/>
          <w:kern w:val="2"/>
          <w:sz w:val="32"/>
          <w:szCs w:val="32"/>
          <w:highlight w:val="none"/>
          <w:lang w:val="en-US" w:eastAsia="zh-CN" w:bidi="ar-SA"/>
        </w:rPr>
        <w:t>绿色电力</w:t>
      </w:r>
      <w:r>
        <w:rPr>
          <w:rFonts w:hint="eastAsia" w:ascii="方正仿宋_GBK" w:hAnsi="方正仿宋_GBK" w:eastAsia="方正仿宋_GBK" w:cs="方正仿宋_GBK"/>
          <w:strike w:val="0"/>
          <w:dstrike w:val="0"/>
          <w:color w:val="auto"/>
          <w:sz w:val="32"/>
          <w:szCs w:val="32"/>
          <w:highlight w:val="none"/>
          <w:lang w:val="en-US" w:eastAsia="zh-CN"/>
        </w:rPr>
        <w:t>交易电量部分，从机制电量与实际上网电量中同步扣减，国家另有规定的按国家规定执行</w:t>
      </w:r>
      <w:bookmarkEnd w:id="25"/>
      <w:r>
        <w:rPr>
          <w:rFonts w:hint="eastAsia" w:ascii="方正仿宋_GBK" w:hAnsi="方正仿宋_GBK" w:eastAsia="方正仿宋_GBK" w:cs="方正仿宋_GBK"/>
          <w:strike w:val="0"/>
          <w:dstrike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第十五条 </w:t>
      </w:r>
      <w:r>
        <w:rPr>
          <w:rFonts w:hint="eastAsia" w:ascii="方正仿宋_GBK" w:hAnsi="方正仿宋_GBK" w:eastAsia="方正仿宋_GBK" w:cs="方正仿宋_GBK"/>
          <w:b w:val="0"/>
          <w:bCs w:val="0"/>
          <w:color w:val="auto"/>
          <w:sz w:val="32"/>
          <w:szCs w:val="32"/>
          <w:highlight w:val="none"/>
          <w:lang w:val="en-US" w:eastAsia="zh-CN"/>
        </w:rPr>
        <w:t>机制电量比例原则上按照具体新能源项目2022年7月至2025年5月非市场化电量平均占比确定。</w:t>
      </w:r>
      <w:r>
        <w:rPr>
          <w:rFonts w:hint="eastAsia" w:ascii="方正仿宋_GBK" w:hAnsi="方正仿宋_GBK" w:eastAsia="方正仿宋_GBK" w:cs="方正仿宋_GBK"/>
          <w:strike w:val="0"/>
          <w:dstrike w:val="0"/>
          <w:color w:val="auto"/>
          <w:sz w:val="32"/>
          <w:szCs w:val="32"/>
          <w:highlight w:val="none"/>
          <w:lang w:val="en-US" w:eastAsia="zh-CN"/>
        </w:rPr>
        <w:t>跨省跨区绿色电力交易电量，从实际上网电量中相应扣减。</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第十六条 </w:t>
      </w:r>
      <w:r>
        <w:rPr>
          <w:rFonts w:hint="eastAsia" w:ascii="方正仿宋_GBK" w:hAnsi="方正仿宋_GBK" w:eastAsia="方正仿宋_GBK" w:cs="方正仿宋_GBK"/>
          <w:color w:val="auto"/>
          <w:sz w:val="32"/>
          <w:szCs w:val="32"/>
          <w:highlight w:val="none"/>
          <w:lang w:val="en-US" w:eastAsia="zh-CN"/>
        </w:rPr>
        <w:t>“自发自用、余电上网”分布式项目，年度机制电量总规模按项目2024年实际上网电量确定。2024年以及</w:t>
      </w:r>
      <w:r>
        <w:rPr>
          <w:rFonts w:hint="eastAsia" w:ascii="方正仿宋_GBK" w:hAnsi="方正仿宋_GBK" w:eastAsia="方正仿宋_GBK" w:cs="方正仿宋_GBK"/>
          <w:b w:val="0"/>
          <w:bCs w:val="0"/>
          <w:color w:val="auto"/>
          <w:sz w:val="32"/>
          <w:szCs w:val="32"/>
          <w:highlight w:val="none"/>
          <w:lang w:val="en-US" w:eastAsia="zh-CN"/>
        </w:rPr>
        <w:t>2025年1-5月投产的项目，</w:t>
      </w:r>
      <w:r>
        <w:rPr>
          <w:rFonts w:hint="eastAsia" w:ascii="方正仿宋_GBK" w:hAnsi="方正仿宋_GBK" w:eastAsia="方正仿宋_GBK" w:cs="方正仿宋_GBK"/>
          <w:color w:val="auto"/>
          <w:sz w:val="32"/>
          <w:szCs w:val="32"/>
          <w:highlight w:val="none"/>
          <w:lang w:val="en-US" w:eastAsia="zh-CN"/>
        </w:rPr>
        <w:t>按年度进行折算确定。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第十七条 </w:t>
      </w:r>
      <w:r>
        <w:rPr>
          <w:rFonts w:hint="eastAsia" w:ascii="方正仿宋_GBK" w:hAnsi="方正仿宋_GBK" w:eastAsia="方正仿宋_GBK" w:cs="方正仿宋_GBK"/>
          <w:color w:val="auto"/>
          <w:sz w:val="32"/>
          <w:szCs w:val="32"/>
          <w:highlight w:val="none"/>
          <w:lang w:val="en-US" w:eastAsia="zh-CN"/>
        </w:rPr>
        <w:t>2025年，新能源项目可在核定的机制电量比例范围内自主确定执行机制的电量比例；2026年及以后，新能源项目每年可自主确定执行机制的电量比例、但不得高于上一年。</w:t>
      </w:r>
      <w:r>
        <w:rPr>
          <w:rFonts w:hint="eastAsia" w:ascii="方正仿宋_GBK" w:hAnsi="方正仿宋_GBK" w:eastAsia="方正仿宋_GBK" w:cs="方正仿宋_GBK"/>
          <w:strike w:val="0"/>
          <w:dstrike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both"/>
        <w:textAlignment w:val="auto"/>
        <w:outlineLvl w:val="9"/>
        <w:rPr>
          <w:rFonts w:hint="eastAsia" w:ascii="CESI仿宋-GB2312" w:hAnsi="CESI仿宋-GB2312" w:eastAsia="CESI仿宋-GB2312" w:cs="CESI仿宋-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第四章 机制电价</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第十八条 </w:t>
      </w:r>
      <w:r>
        <w:rPr>
          <w:rFonts w:hint="eastAsia" w:ascii="方正仿宋_GBK" w:hAnsi="方正仿宋_GBK" w:eastAsia="方正仿宋_GBK" w:cs="方正仿宋_GBK"/>
          <w:color w:val="auto"/>
          <w:sz w:val="32"/>
          <w:szCs w:val="32"/>
          <w:highlight w:val="none"/>
          <w:lang w:val="en-US" w:eastAsia="zh-CN"/>
        </w:rPr>
        <w:t>存量新能源项目机制电价</w:t>
      </w:r>
      <w:r>
        <w:rPr>
          <w:rFonts w:hint="eastAsia" w:ascii="方正仿宋_GBK" w:hAnsi="方正仿宋_GBK" w:eastAsia="方正仿宋_GBK" w:cs="方正仿宋_GBK"/>
          <w:color w:val="auto"/>
          <w:sz w:val="32"/>
          <w:szCs w:val="32"/>
          <w:highlight w:val="none"/>
        </w:rPr>
        <w:t>与现行价格政策衔接，按现行燃煤发电基准价确定</w:t>
      </w:r>
      <w:r>
        <w:rPr>
          <w:rFonts w:hint="eastAsia" w:ascii="方正仿宋_GBK" w:hAnsi="方正仿宋_GBK" w:eastAsia="方正仿宋_GBK" w:cs="方正仿宋_GBK"/>
          <w:color w:val="auto"/>
          <w:sz w:val="32"/>
          <w:szCs w:val="32"/>
          <w:highlight w:val="none"/>
          <w:lang w:val="en-US" w:eastAsia="zh-CN"/>
        </w:rPr>
        <w:t>为0.332元/千瓦时（含税）。</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第十九条 </w:t>
      </w:r>
      <w:r>
        <w:rPr>
          <w:rFonts w:hint="eastAsia" w:ascii="方正仿宋_GBK" w:hAnsi="方正仿宋_GBK" w:eastAsia="方正仿宋_GBK" w:cs="方正仿宋_GBK"/>
          <w:color w:val="auto"/>
          <w:sz w:val="32"/>
          <w:szCs w:val="32"/>
          <w:highlight w:val="none"/>
          <w:lang w:val="en-US" w:eastAsia="zh-CN"/>
        </w:rPr>
        <w:t>机制电量每月按机制电价与市场交易均价的差价进行场外结算。市场交易均价原则上按照月度发电侧实时市场同类项目（区分风电、光伏发电项目）加权平均价格（结算限价前所有时点和所有节点）确定。市场交易均价低于或高于机制电价的部分，纳入系统运行费用管理，在系统运行费用中单列“新能源可持续发展价格结算机制差价结算费用”科目，按月测算、滚动清算。</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CESI仿宋-GB2312" w:hAnsi="CESI仿宋-GB2312" w:eastAsia="CESI仿宋-GB2312" w:cs="CESI仿宋-GB2312"/>
          <w:strike w:val="0"/>
          <w:color w:val="auto"/>
          <w:kern w:val="2"/>
          <w:sz w:val="32"/>
          <w:szCs w:val="32"/>
          <w:highlight w:val="none"/>
          <w:lang w:bidi="ar"/>
        </w:rPr>
      </w:pPr>
      <w:r>
        <w:rPr>
          <w:rFonts w:hint="eastAsia" w:ascii="方正仿宋_GBK" w:hAnsi="方正仿宋_GBK" w:eastAsia="方正仿宋_GBK" w:cs="方正仿宋_GBK"/>
          <w:b/>
          <w:bCs/>
          <w:color w:val="auto"/>
          <w:sz w:val="32"/>
          <w:szCs w:val="32"/>
          <w:highlight w:val="none"/>
          <w:lang w:val="en-US" w:eastAsia="zh-CN"/>
        </w:rPr>
        <w:t xml:space="preserve">第二十条 </w:t>
      </w:r>
      <w:r>
        <w:rPr>
          <w:rFonts w:hint="eastAsia" w:ascii="方正仿宋_GBK" w:hAnsi="方正仿宋_GBK" w:eastAsia="方正仿宋_GBK" w:cs="方正仿宋_GBK"/>
          <w:color w:val="auto"/>
          <w:sz w:val="32"/>
          <w:szCs w:val="32"/>
          <w:highlight w:val="none"/>
        </w:rPr>
        <w:t>机制电量只进行一次差价结算。</w:t>
      </w:r>
      <w:r>
        <w:rPr>
          <w:rFonts w:hint="eastAsia" w:ascii="方正仿宋_GBK" w:hAnsi="方正仿宋_GBK" w:eastAsia="方正仿宋_GBK" w:cs="方正仿宋_GBK"/>
          <w:strike w:val="0"/>
          <w:dstrike w:val="0"/>
          <w:color w:val="auto"/>
          <w:kern w:val="2"/>
          <w:sz w:val="32"/>
          <w:szCs w:val="32"/>
          <w:highlight w:val="none"/>
          <w:lang w:bidi="ar"/>
        </w:rPr>
        <w:t>新能源</w:t>
      </w:r>
      <w:r>
        <w:rPr>
          <w:rFonts w:hint="eastAsia" w:ascii="方正仿宋_GBK" w:hAnsi="方正仿宋_GBK" w:eastAsia="方正仿宋_GBK" w:cs="方正仿宋_GBK"/>
          <w:strike w:val="0"/>
          <w:dstrike w:val="0"/>
          <w:color w:val="auto"/>
          <w:kern w:val="2"/>
          <w:sz w:val="32"/>
          <w:szCs w:val="32"/>
          <w:highlight w:val="none"/>
          <w:lang w:eastAsia="zh-CN" w:bidi="ar"/>
        </w:rPr>
        <w:t>参与</w:t>
      </w:r>
      <w:r>
        <w:rPr>
          <w:rFonts w:hint="eastAsia" w:ascii="方正仿宋_GBK" w:hAnsi="方正仿宋_GBK" w:eastAsia="方正仿宋_GBK" w:cs="方正仿宋_GBK"/>
          <w:strike w:val="0"/>
          <w:dstrike w:val="0"/>
          <w:color w:val="auto"/>
          <w:sz w:val="32"/>
          <w:szCs w:val="32"/>
          <w:highlight w:val="none"/>
          <w:lang w:val="en-US" w:eastAsia="zh-CN"/>
        </w:rPr>
        <w:t>中长期市场交易申报电量上限按照额定容量扣减机制电量对应容量后的最大上网能力确定</w:t>
      </w:r>
      <w:r>
        <w:rPr>
          <w:rFonts w:hint="eastAsia" w:ascii="方正仿宋_GBK" w:hAnsi="方正仿宋_GBK" w:eastAsia="方正仿宋_GBK" w:cs="方正仿宋_GBK"/>
          <w:strike w:val="0"/>
          <w:dstrike w:val="0"/>
          <w:color w:val="auto"/>
          <w:kern w:val="2"/>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第二十一条 </w:t>
      </w:r>
      <w:r>
        <w:rPr>
          <w:rFonts w:hint="eastAsia" w:ascii="方正仿宋_GBK" w:hAnsi="方正仿宋_GBK" w:eastAsia="方正仿宋_GBK" w:cs="方正仿宋_GBK"/>
          <w:color w:val="auto"/>
          <w:sz w:val="32"/>
          <w:szCs w:val="32"/>
          <w:highlight w:val="none"/>
          <w:lang w:eastAsia="zh-CN"/>
        </w:rPr>
        <w:t>单个项目机制电量</w:t>
      </w:r>
      <w:r>
        <w:rPr>
          <w:rFonts w:hint="eastAsia" w:ascii="方正仿宋_GBK" w:hAnsi="方正仿宋_GBK" w:eastAsia="方正仿宋_GBK" w:cs="方正仿宋_GBK"/>
          <w:color w:val="auto"/>
          <w:sz w:val="32"/>
          <w:szCs w:val="32"/>
          <w:highlight w:val="none"/>
          <w:lang w:val="en-US" w:eastAsia="zh-CN"/>
        </w:rPr>
        <w:t>对应的场内</w:t>
      </w:r>
      <w:r>
        <w:rPr>
          <w:rFonts w:hint="eastAsia" w:ascii="方正仿宋_GBK" w:hAnsi="方正仿宋_GBK" w:eastAsia="方正仿宋_GBK" w:cs="方正仿宋_GBK"/>
          <w:color w:val="auto"/>
          <w:sz w:val="32"/>
          <w:szCs w:val="32"/>
          <w:highlight w:val="none"/>
          <w:lang w:eastAsia="zh-CN"/>
        </w:rPr>
        <w:t>交易电价按照所在节点实时市场分时价格进行场内结算。</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第二十二条 </w:t>
      </w:r>
      <w:r>
        <w:rPr>
          <w:rFonts w:hint="eastAsia" w:ascii="方正仿宋_GBK" w:hAnsi="方正仿宋_GBK" w:eastAsia="方正仿宋_GBK" w:cs="方正仿宋_GBK"/>
          <w:color w:val="auto"/>
          <w:sz w:val="32"/>
          <w:szCs w:val="32"/>
          <w:highlight w:val="none"/>
          <w:lang w:val="en-US" w:eastAsia="zh-CN"/>
        </w:rPr>
        <w:t>纳入机制且确定年度机制电量总规模的新能源项目，</w:t>
      </w:r>
      <w:r>
        <w:rPr>
          <w:rFonts w:hint="eastAsia" w:ascii="方正仿宋_GBK" w:hAnsi="方正仿宋_GBK" w:eastAsia="方正仿宋_GBK" w:cs="方正仿宋_GBK"/>
          <w:color w:val="auto"/>
          <w:sz w:val="32"/>
          <w:szCs w:val="32"/>
          <w:highlight w:val="none"/>
        </w:rPr>
        <w:t>若当年已结算机制电量达到年度机制电量</w:t>
      </w:r>
      <w:r>
        <w:rPr>
          <w:rFonts w:hint="eastAsia" w:ascii="方正仿宋_GBK" w:hAnsi="方正仿宋_GBK" w:eastAsia="方正仿宋_GBK" w:cs="方正仿宋_GBK"/>
          <w:color w:val="auto"/>
          <w:sz w:val="32"/>
          <w:szCs w:val="32"/>
          <w:highlight w:val="none"/>
          <w:lang w:eastAsia="zh-CN"/>
        </w:rPr>
        <w:t>总</w:t>
      </w:r>
      <w:r>
        <w:rPr>
          <w:rFonts w:hint="eastAsia" w:ascii="方正仿宋_GBK" w:hAnsi="方正仿宋_GBK" w:eastAsia="方正仿宋_GBK" w:cs="方正仿宋_GBK"/>
          <w:color w:val="auto"/>
          <w:sz w:val="32"/>
          <w:szCs w:val="32"/>
          <w:highlight w:val="none"/>
        </w:rPr>
        <w:t>规模，则当月超过部分及后续月不再执行机制电价，若年底仍未达到年度机制电量</w:t>
      </w:r>
      <w:r>
        <w:rPr>
          <w:rFonts w:hint="eastAsia" w:ascii="方正仿宋_GBK" w:hAnsi="方正仿宋_GBK" w:eastAsia="方正仿宋_GBK" w:cs="方正仿宋_GBK"/>
          <w:color w:val="auto"/>
          <w:sz w:val="32"/>
          <w:szCs w:val="32"/>
          <w:highlight w:val="none"/>
          <w:lang w:eastAsia="zh-CN"/>
        </w:rPr>
        <w:t>总</w:t>
      </w:r>
      <w:r>
        <w:rPr>
          <w:rFonts w:hint="eastAsia" w:ascii="方正仿宋_GBK" w:hAnsi="方正仿宋_GBK" w:eastAsia="方正仿宋_GBK" w:cs="方正仿宋_GBK"/>
          <w:color w:val="auto"/>
          <w:sz w:val="32"/>
          <w:szCs w:val="32"/>
          <w:highlight w:val="none"/>
        </w:rPr>
        <w:t>规模，则缺额</w:t>
      </w:r>
      <w:r>
        <w:rPr>
          <w:rFonts w:hint="eastAsia" w:ascii="方正仿宋_GBK" w:hAnsi="方正仿宋_GBK" w:eastAsia="方正仿宋_GBK" w:cs="方正仿宋_GBK"/>
          <w:color w:val="auto"/>
          <w:sz w:val="32"/>
          <w:szCs w:val="32"/>
          <w:highlight w:val="none"/>
          <w:lang w:eastAsia="zh-CN"/>
        </w:rPr>
        <w:t>部分</w:t>
      </w:r>
      <w:r>
        <w:rPr>
          <w:rFonts w:hint="eastAsia" w:ascii="方正仿宋_GBK" w:hAnsi="方正仿宋_GBK" w:eastAsia="方正仿宋_GBK" w:cs="方正仿宋_GBK"/>
          <w:color w:val="auto"/>
          <w:sz w:val="32"/>
          <w:szCs w:val="32"/>
          <w:highlight w:val="none"/>
        </w:rPr>
        <w:t>不再执行机制电价，不进行跨年滚动。</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9"/>
        <w:rPr>
          <w:rFonts w:hint="eastAsia" w:ascii="CESI仿宋-GB2312" w:hAnsi="CESI仿宋-GB2312" w:eastAsia="CESI仿宋-GB2312" w:cs="CESI仿宋-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第五章 执行期限</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第二十三条</w:t>
      </w:r>
      <w:r>
        <w:rPr>
          <w:rFonts w:hint="eastAsia" w:ascii="方正仿宋_GBK" w:hAnsi="方正仿宋_GBK" w:eastAsia="方正仿宋_GBK" w:cs="方正仿宋_GBK"/>
          <w:color w:val="auto"/>
          <w:sz w:val="32"/>
          <w:szCs w:val="32"/>
          <w:highlight w:val="none"/>
          <w:lang w:val="en-US" w:eastAsia="zh-CN"/>
        </w:rPr>
        <w:t xml:space="preserve"> 机制电价自2026年1月1日起执行，执行期限原则上与现行相关政策保障期限衔接，按项目剩余全生命周期合理利用小时数对应年份</w:t>
      </w:r>
      <w:bookmarkStart w:id="26" w:name="OLE_LINK4"/>
      <w:r>
        <w:rPr>
          <w:rFonts w:hint="eastAsia" w:ascii="方正仿宋_GBK" w:hAnsi="方正仿宋_GBK" w:eastAsia="方正仿宋_GBK" w:cs="方正仿宋_GBK"/>
          <w:color w:val="auto"/>
          <w:sz w:val="32"/>
          <w:szCs w:val="32"/>
          <w:highlight w:val="none"/>
          <w:lang w:val="en-US" w:eastAsia="zh-CN"/>
        </w:rPr>
        <w:t>（具体到月）</w:t>
      </w:r>
      <w:bookmarkEnd w:id="26"/>
      <w:r>
        <w:rPr>
          <w:rFonts w:hint="eastAsia" w:ascii="方正仿宋_GBK" w:hAnsi="方正仿宋_GBK" w:eastAsia="方正仿宋_GBK" w:cs="方正仿宋_GBK"/>
          <w:color w:val="auto"/>
          <w:sz w:val="32"/>
          <w:szCs w:val="32"/>
          <w:highlight w:val="none"/>
          <w:lang w:val="en-US" w:eastAsia="zh-CN"/>
        </w:rPr>
        <w:t>与投产满20年对应年份（具体到月）较早者确定。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第二十四条 </w:t>
      </w:r>
      <w:r>
        <w:rPr>
          <w:rFonts w:hint="eastAsia" w:ascii="方正仿宋_GBK" w:hAnsi="方正仿宋_GBK" w:eastAsia="方正仿宋_GBK" w:cs="方正仿宋_GBK"/>
          <w:color w:val="auto"/>
          <w:sz w:val="32"/>
          <w:szCs w:val="32"/>
          <w:highlight w:val="none"/>
        </w:rPr>
        <w:t>剩余生命周期利用小时数等于全生命周期合理利用小时数减去机制电价执行前</w:t>
      </w:r>
      <w:r>
        <w:rPr>
          <w:rFonts w:hint="eastAsia" w:ascii="方正仿宋_GBK" w:hAnsi="方正仿宋_GBK" w:eastAsia="方正仿宋_GBK" w:cs="方正仿宋_GBK"/>
          <w:color w:val="auto"/>
          <w:sz w:val="32"/>
          <w:szCs w:val="32"/>
          <w:highlight w:val="none"/>
          <w:lang w:eastAsia="zh-CN"/>
        </w:rPr>
        <w:t>累计发电</w:t>
      </w:r>
      <w:r>
        <w:rPr>
          <w:rFonts w:hint="eastAsia" w:ascii="方正仿宋_GBK" w:hAnsi="方正仿宋_GBK" w:eastAsia="方正仿宋_GBK" w:cs="方正仿宋_GBK"/>
          <w:color w:val="auto"/>
          <w:sz w:val="32"/>
          <w:szCs w:val="32"/>
          <w:highlight w:val="none"/>
        </w:rPr>
        <w:t>利用小时数</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全生命周期合理利用小时按照以下原则确定：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风力发电项目，我省各市均为四类资源区，全生命周期合理利用小时数为36000小时。</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光伏发电项目，我省大同、朔州、忻州、阳泉为二类资源区，项目全生命周期合理利用小时数为26000小时；其他各市为三类资源区，项目全生命周期合理利用小时数为22000小时。</w:t>
      </w:r>
    </w:p>
    <w:p>
      <w:pPr>
        <w:keepNext w:val="0"/>
        <w:keepLines w:val="0"/>
        <w:pageBreakBefore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国家确定的光伏领跑者基地项目和2019年、2020年竞价项目全生命周期合理利用小时数在所在资源区小时数基础上增加10%。</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kern w:val="0"/>
          <w:sz w:val="32"/>
          <w:szCs w:val="32"/>
          <w:highlight w:val="none"/>
          <w:lang w:val="en-US" w:eastAsia="zh-CN" w:bidi="ar"/>
        </w:rPr>
        <w:t xml:space="preserve">第二十五条 </w:t>
      </w:r>
      <w:r>
        <w:rPr>
          <w:rFonts w:hint="eastAsia" w:ascii="方正仿宋_GBK" w:hAnsi="方正仿宋_GBK" w:eastAsia="方正仿宋_GBK" w:cs="方正仿宋_GBK"/>
          <w:color w:val="auto"/>
          <w:sz w:val="32"/>
          <w:szCs w:val="32"/>
          <w:highlight w:val="none"/>
        </w:rPr>
        <w:t>新能源项目</w:t>
      </w:r>
      <w:r>
        <w:rPr>
          <w:rFonts w:hint="eastAsia" w:ascii="方正仿宋_GBK" w:hAnsi="方正仿宋_GBK" w:eastAsia="方正仿宋_GBK" w:cs="方正仿宋_GBK"/>
          <w:color w:val="auto"/>
          <w:sz w:val="32"/>
          <w:szCs w:val="32"/>
          <w:highlight w:val="none"/>
          <w:lang w:eastAsia="zh-CN"/>
        </w:rPr>
        <w:t>机制电价</w:t>
      </w:r>
      <w:r>
        <w:rPr>
          <w:rFonts w:hint="eastAsia" w:ascii="方正仿宋_GBK" w:hAnsi="方正仿宋_GBK" w:eastAsia="方正仿宋_GBK" w:cs="方正仿宋_GBK"/>
          <w:color w:val="auto"/>
          <w:sz w:val="32"/>
          <w:szCs w:val="32"/>
          <w:highlight w:val="none"/>
        </w:rPr>
        <w:t>执行到期，或者在期限内自愿退出</w:t>
      </w:r>
      <w:r>
        <w:rPr>
          <w:rFonts w:hint="eastAsia" w:ascii="方正仿宋_GBK" w:hAnsi="方正仿宋_GBK" w:eastAsia="方正仿宋_GBK" w:cs="方正仿宋_GBK"/>
          <w:color w:val="auto"/>
          <w:sz w:val="32"/>
          <w:szCs w:val="32"/>
          <w:highlight w:val="none"/>
          <w:lang w:val="en-US" w:eastAsia="zh-CN"/>
        </w:rPr>
        <w:t>等</w:t>
      </w:r>
      <w:r>
        <w:rPr>
          <w:rFonts w:hint="eastAsia" w:ascii="方正仿宋_GBK" w:hAnsi="方正仿宋_GBK" w:eastAsia="方正仿宋_GBK" w:cs="方正仿宋_GBK"/>
          <w:color w:val="auto"/>
          <w:sz w:val="32"/>
          <w:szCs w:val="32"/>
          <w:highlight w:val="none"/>
        </w:rPr>
        <w:t>，均不再纳入机制</w:t>
      </w:r>
      <w:r>
        <w:rPr>
          <w:rFonts w:hint="eastAsia" w:ascii="方正仿宋_GBK" w:hAnsi="方正仿宋_GBK" w:eastAsia="方正仿宋_GBK" w:cs="方正仿宋_GBK"/>
          <w:color w:val="auto"/>
          <w:sz w:val="32"/>
          <w:szCs w:val="32"/>
          <w:highlight w:val="none"/>
          <w:lang w:eastAsia="zh-CN"/>
        </w:rPr>
        <w:t>电价</w:t>
      </w:r>
      <w:r>
        <w:rPr>
          <w:rFonts w:hint="eastAsia" w:ascii="方正仿宋_GBK" w:hAnsi="方正仿宋_GBK" w:eastAsia="方正仿宋_GBK" w:cs="方正仿宋_GBK"/>
          <w:color w:val="auto"/>
          <w:sz w:val="32"/>
          <w:szCs w:val="32"/>
          <w:highlight w:val="none"/>
        </w:rPr>
        <w:t>执行范围。</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left"/>
        <w:textAlignment w:val="auto"/>
        <w:outlineLvl w:val="1"/>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第二十六条 </w:t>
      </w:r>
      <w:r>
        <w:rPr>
          <w:rFonts w:hint="eastAsia" w:ascii="方正仿宋_GBK" w:hAnsi="方正仿宋_GBK" w:eastAsia="方正仿宋_GBK" w:cs="方正仿宋_GBK"/>
          <w:color w:val="auto"/>
          <w:sz w:val="32"/>
          <w:szCs w:val="32"/>
          <w:highlight w:val="none"/>
          <w:lang w:eastAsia="zh-CN"/>
        </w:rPr>
        <w:t>分期并网项目的执行期限起始日期为首台机组并网时间，即集中式风电、光伏按</w:t>
      </w:r>
      <w:r>
        <w:rPr>
          <w:rFonts w:hint="eastAsia" w:ascii="方正仿宋_GBK" w:hAnsi="方正仿宋_GBK" w:eastAsia="方正仿宋_GBK" w:cs="方正仿宋_GBK"/>
          <w:color w:val="auto"/>
          <w:sz w:val="32"/>
          <w:szCs w:val="32"/>
          <w:highlight w:val="none"/>
        </w:rPr>
        <w:t>电力业务许可证载明的</w:t>
      </w:r>
      <w:r>
        <w:rPr>
          <w:rFonts w:hint="eastAsia" w:ascii="方正仿宋_GBK" w:hAnsi="方正仿宋_GBK" w:eastAsia="方正仿宋_GBK" w:cs="方正仿宋_GBK"/>
          <w:color w:val="auto"/>
          <w:sz w:val="32"/>
          <w:szCs w:val="32"/>
          <w:highlight w:val="none"/>
          <w:lang w:eastAsia="zh-CN"/>
        </w:rPr>
        <w:t>首台</w:t>
      </w:r>
      <w:r>
        <w:rPr>
          <w:rFonts w:hint="eastAsia" w:ascii="方正仿宋_GBK" w:hAnsi="方正仿宋_GBK" w:eastAsia="方正仿宋_GBK" w:cs="方正仿宋_GBK"/>
          <w:color w:val="auto"/>
          <w:sz w:val="32"/>
          <w:szCs w:val="32"/>
          <w:highlight w:val="none"/>
        </w:rPr>
        <w:t>机组容量</w:t>
      </w:r>
      <w:r>
        <w:rPr>
          <w:rFonts w:hint="eastAsia" w:ascii="方正仿宋_GBK" w:hAnsi="方正仿宋_GBK" w:eastAsia="方正仿宋_GBK" w:cs="方正仿宋_GBK"/>
          <w:color w:val="auto"/>
          <w:sz w:val="32"/>
          <w:szCs w:val="32"/>
          <w:highlight w:val="none"/>
          <w:lang w:eastAsia="zh-CN"/>
        </w:rPr>
        <w:t>并网时间认定，</w:t>
      </w:r>
      <w:r>
        <w:rPr>
          <w:rFonts w:hint="eastAsia" w:ascii="方正仿宋_GBK" w:hAnsi="方正仿宋_GBK" w:eastAsia="方正仿宋_GBK" w:cs="方正仿宋_GBK"/>
          <w:color w:val="auto"/>
          <w:sz w:val="32"/>
          <w:szCs w:val="32"/>
          <w:highlight w:val="none"/>
        </w:rPr>
        <w:t>分布式光伏按照电网企业信息系统中记录的</w:t>
      </w:r>
      <w:r>
        <w:rPr>
          <w:rFonts w:hint="eastAsia" w:ascii="方正仿宋_GBK" w:hAnsi="方正仿宋_GBK" w:eastAsia="方正仿宋_GBK" w:cs="方正仿宋_GBK"/>
          <w:color w:val="auto"/>
          <w:sz w:val="32"/>
          <w:szCs w:val="32"/>
          <w:highlight w:val="none"/>
          <w:lang w:eastAsia="zh-CN"/>
        </w:rPr>
        <w:t>首台机组并网时间认定，</w:t>
      </w:r>
      <w:r>
        <w:rPr>
          <w:rFonts w:hint="eastAsia" w:ascii="方正仿宋_GBK" w:hAnsi="方正仿宋_GBK" w:eastAsia="方正仿宋_GBK" w:cs="方正仿宋_GBK"/>
          <w:color w:val="auto"/>
          <w:sz w:val="32"/>
          <w:szCs w:val="32"/>
          <w:highlight w:val="none"/>
        </w:rPr>
        <w:t>分散式风电按照并网调度协议记载的</w:t>
      </w:r>
      <w:r>
        <w:rPr>
          <w:rFonts w:hint="eastAsia" w:ascii="方正仿宋_GBK" w:hAnsi="方正仿宋_GBK" w:eastAsia="方正仿宋_GBK" w:cs="方正仿宋_GBK"/>
          <w:color w:val="auto"/>
          <w:sz w:val="32"/>
          <w:szCs w:val="32"/>
          <w:highlight w:val="none"/>
          <w:lang w:eastAsia="zh-CN"/>
        </w:rPr>
        <w:t>首台机组并网时间认定。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第六章 附则</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第二十七条 </w:t>
      </w:r>
      <w:r>
        <w:rPr>
          <w:rFonts w:hint="eastAsia" w:ascii="方正仿宋_GBK" w:hAnsi="方正仿宋_GBK" w:eastAsia="方正仿宋_GBK" w:cs="方正仿宋_GBK"/>
          <w:color w:val="auto"/>
          <w:sz w:val="32"/>
          <w:szCs w:val="32"/>
          <w:highlight w:val="none"/>
          <w:lang w:val="en-US" w:eastAsia="zh-CN"/>
        </w:rPr>
        <w:t>企业在申报纳入存量项目过程中弄虚作假的，一经查实，取消其享受机制电价资格。</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第二十八条 </w:t>
      </w:r>
      <w:r>
        <w:rPr>
          <w:rFonts w:hint="eastAsia" w:ascii="方正仿宋_GBK" w:hAnsi="方正仿宋_GBK" w:eastAsia="方正仿宋_GBK" w:cs="方正仿宋_GBK"/>
          <w:color w:val="auto"/>
          <w:sz w:val="32"/>
          <w:szCs w:val="32"/>
          <w:highlight w:val="none"/>
          <w:lang w:val="en-US" w:eastAsia="zh-CN"/>
        </w:rPr>
        <w:t>本细则由省发展改革委负责解释。</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 xml:space="preserve">第二十九条 </w:t>
      </w:r>
      <w:r>
        <w:rPr>
          <w:rFonts w:hint="eastAsia" w:ascii="方正仿宋_GBK" w:hAnsi="方正仿宋_GBK" w:eastAsia="方正仿宋_GBK" w:cs="方正仿宋_GBK"/>
          <w:color w:val="auto"/>
          <w:sz w:val="32"/>
          <w:szCs w:val="32"/>
          <w:highlight w:val="none"/>
          <w:lang w:bidi="ar"/>
        </w:rPr>
        <w:t>本细则自发布之日起施行，如遇</w:t>
      </w:r>
      <w:r>
        <w:rPr>
          <w:rFonts w:hint="eastAsia" w:ascii="方正仿宋_GBK" w:hAnsi="方正仿宋_GBK" w:eastAsia="方正仿宋_GBK" w:cs="方正仿宋_GBK"/>
          <w:color w:val="auto"/>
          <w:sz w:val="32"/>
          <w:szCs w:val="32"/>
          <w:highlight w:val="none"/>
          <w:lang w:eastAsia="zh-CN" w:bidi="ar"/>
        </w:rPr>
        <w:t>国家</w:t>
      </w:r>
      <w:r>
        <w:rPr>
          <w:rFonts w:hint="eastAsia" w:ascii="方正仿宋_GBK" w:hAnsi="方正仿宋_GBK" w:eastAsia="方正仿宋_GBK" w:cs="方正仿宋_GBK"/>
          <w:color w:val="auto"/>
          <w:sz w:val="32"/>
          <w:szCs w:val="32"/>
          <w:highlight w:val="none"/>
          <w:lang w:bidi="ar"/>
        </w:rPr>
        <w:t>政策</w:t>
      </w:r>
      <w:r>
        <w:rPr>
          <w:rFonts w:hint="eastAsia" w:ascii="方正仿宋_GBK" w:hAnsi="方正仿宋_GBK" w:eastAsia="方正仿宋_GBK" w:cs="方正仿宋_GBK"/>
          <w:color w:val="auto"/>
          <w:sz w:val="32"/>
          <w:szCs w:val="32"/>
          <w:highlight w:val="none"/>
          <w:lang w:eastAsia="zh-CN" w:bidi="ar"/>
        </w:rPr>
        <w:t>调整</w:t>
      </w:r>
      <w:r>
        <w:rPr>
          <w:rFonts w:hint="eastAsia" w:ascii="方正仿宋_GBK" w:hAnsi="方正仿宋_GBK" w:eastAsia="方正仿宋_GBK" w:cs="方正仿宋_GBK"/>
          <w:color w:val="auto"/>
          <w:sz w:val="32"/>
          <w:szCs w:val="32"/>
          <w:highlight w:val="none"/>
          <w:lang w:bidi="ar"/>
        </w:rPr>
        <w:t>或行业变化适时调整</w:t>
      </w:r>
      <w:r>
        <w:rPr>
          <w:rFonts w:hint="eastAsia" w:ascii="方正仿宋_GBK" w:hAnsi="方正仿宋_GBK" w:eastAsia="方正仿宋_GBK" w:cs="方正仿宋_GBK"/>
          <w:color w:val="auto"/>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textAlignment w:val="auto"/>
        <w:rPr>
          <w:rFonts w:hint="eastAsia" w:ascii="CESI仿宋-GB2312" w:hAnsi="CESI仿宋-GB2312" w:eastAsia="CESI仿宋-GB2312" w:cs="CESI仿宋-GB2312"/>
          <w:color w:val="auto"/>
          <w:lang w:val="en-US" w:eastAsia="zh-CN"/>
        </w:rPr>
      </w:pPr>
      <w:r>
        <w:rPr>
          <w:rFonts w:hint="eastAsia" w:ascii="CESI仿宋-GB2312" w:hAnsi="CESI仿宋-GB2312" w:eastAsia="CESI仿宋-GB2312" w:cs="CESI仿宋-GB2312"/>
          <w:color w:val="auto"/>
          <w:lang w:val="en-US" w:eastAsia="zh-CN"/>
        </w:rPr>
        <w:br w:type="page"/>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both"/>
        <w:textAlignment w:val="auto"/>
        <w:outlineLvl w:val="0"/>
        <w:rPr>
          <w:rFonts w:hint="eastAsia" w:ascii="CESI黑体-GB2312" w:hAnsi="CESI黑体-GB2312" w:eastAsia="CESI黑体-GB2312" w:cs="CESI黑体-GB2312"/>
          <w:color w:val="auto"/>
          <w:sz w:val="32"/>
          <w:szCs w:val="32"/>
          <w:highlight w:val="none"/>
          <w:lang w:val="en-US" w:eastAsia="zh-CN"/>
        </w:rPr>
      </w:pPr>
      <w:r>
        <w:rPr>
          <w:rFonts w:hint="eastAsia" w:ascii="CESI黑体-GB2312" w:hAnsi="CESI黑体-GB2312" w:eastAsia="CESI黑体-GB2312" w:cs="CESI黑体-GB2312"/>
          <w:color w:val="auto"/>
          <w:sz w:val="32"/>
          <w:szCs w:val="32"/>
          <w:highlight w:val="none"/>
          <w:lang w:eastAsia="zh-CN"/>
        </w:rPr>
        <w:t>附件</w:t>
      </w:r>
      <w:r>
        <w:rPr>
          <w:rFonts w:hint="eastAsia" w:ascii="CESI黑体-GB2312" w:hAnsi="CESI黑体-GB2312" w:eastAsia="CESI黑体-GB2312" w:cs="CESI黑体-GB2312"/>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outlineLvl w:val="0"/>
        <w:rPr>
          <w:rFonts w:hint="eastAsia" w:ascii="方正小标宋_GBK" w:hAnsi="方正小标宋_GBK" w:eastAsia="方正小标宋_GBK" w:cs="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outlineLvl w:val="0"/>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山西省增量新能源项目机制电价</w:t>
      </w:r>
      <w:r>
        <w:rPr>
          <w:rFonts w:hint="eastAsia" w:ascii="方正小标宋_GBK" w:hAnsi="方正小标宋_GBK" w:eastAsia="方正小标宋_GBK" w:cs="方正小标宋_GBK"/>
          <w:color w:val="auto"/>
          <w:sz w:val="44"/>
          <w:szCs w:val="44"/>
          <w:highlight w:val="none"/>
          <w:lang w:val="en-US" w:eastAsia="zh-CN"/>
        </w:rPr>
        <w:t>实施</w:t>
      </w:r>
      <w:r>
        <w:rPr>
          <w:rFonts w:hint="eastAsia" w:ascii="方正小标宋_GBK" w:hAnsi="方正小标宋_GBK" w:eastAsia="方正小标宋_GBK" w:cs="方正小标宋_GBK"/>
          <w:color w:val="auto"/>
          <w:sz w:val="44"/>
          <w:szCs w:val="44"/>
          <w:highlight w:val="none"/>
        </w:rPr>
        <w:t>细则</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0" w:firstLineChars="0"/>
        <w:jc w:val="center"/>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kern w:val="0"/>
          <w:sz w:val="32"/>
          <w:szCs w:val="32"/>
          <w:highlight w:val="none"/>
          <w:lang w:bidi="ar"/>
        </w:rPr>
        <w:t xml:space="preserve">第一条 </w:t>
      </w:r>
      <w:r>
        <w:rPr>
          <w:rFonts w:hint="eastAsia" w:ascii="方正仿宋_GBK" w:hAnsi="方正仿宋_GBK" w:eastAsia="方正仿宋_GBK" w:cs="方正仿宋_GBK"/>
          <w:color w:val="auto"/>
          <w:sz w:val="32"/>
          <w:szCs w:val="32"/>
          <w:highlight w:val="none"/>
        </w:rPr>
        <w:t>为深化新能源上网电价市场化改革，推动新能源高质量发展，依据《关于深化新能源上网电价市场化改革促进新能源高质量发展的通知》（发改价格〔2025〕136号）</w:t>
      </w:r>
      <w:r>
        <w:rPr>
          <w:rFonts w:hint="eastAsia" w:ascii="方正仿宋_GBK" w:hAnsi="方正仿宋_GBK" w:eastAsia="方正仿宋_GBK" w:cs="方正仿宋_GBK"/>
          <w:color w:val="auto"/>
          <w:sz w:val="32"/>
          <w:szCs w:val="32"/>
          <w:highlight w:val="none"/>
          <w:lang w:eastAsia="zh-CN"/>
        </w:rPr>
        <w:t>、《电力现货市场基本规则（试行）》（发改能源规〔2023〕1217号）</w:t>
      </w:r>
      <w:r>
        <w:rPr>
          <w:rFonts w:hint="eastAsia" w:ascii="方正仿宋_GBK" w:hAnsi="方正仿宋_GBK" w:eastAsia="方正仿宋_GBK" w:cs="方正仿宋_GBK"/>
          <w:color w:val="auto"/>
          <w:sz w:val="32"/>
          <w:szCs w:val="32"/>
          <w:highlight w:val="none"/>
        </w:rPr>
        <w:t>、《关于全面加快电力现货市场建设工作的通知》（发改办体改〔2025〕394号）、《关于加快建设全国统一电力市场体系的指导意见》（发改体改〔2022〕118号）、《关于建立健全电力辅助服务市场价格机制的通知》（发改价格〔2024〕196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《山西省关于深化新能源上网电价市场化改革 促进新能源高质量发展的实施方案》（晋发改商品发〔2025〕****号）</w:t>
      </w:r>
      <w:r>
        <w:rPr>
          <w:rFonts w:hint="eastAsia" w:ascii="方正仿宋_GBK" w:hAnsi="方正仿宋_GBK" w:eastAsia="方正仿宋_GBK" w:cs="方正仿宋_GBK"/>
          <w:color w:val="auto"/>
          <w:sz w:val="32"/>
          <w:szCs w:val="32"/>
          <w:highlight w:val="none"/>
          <w:lang w:eastAsia="zh-CN"/>
        </w:rPr>
        <w:t>等文件</w:t>
      </w:r>
      <w:r>
        <w:rPr>
          <w:rFonts w:hint="eastAsia" w:ascii="方正仿宋_GBK" w:hAnsi="方正仿宋_GBK" w:eastAsia="方正仿宋_GBK" w:cs="方正仿宋_GBK"/>
          <w:color w:val="auto"/>
          <w:sz w:val="32"/>
          <w:szCs w:val="32"/>
          <w:highlight w:val="none"/>
        </w:rPr>
        <w:t>，结合山西实际，制定本细则。</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eastAsia="zh-CN" w:bidi="ar"/>
        </w:rPr>
        <w:t>二</w:t>
      </w:r>
      <w:r>
        <w:rPr>
          <w:rFonts w:hint="eastAsia" w:ascii="方正仿宋_GBK" w:hAnsi="方正仿宋_GBK" w:eastAsia="方正仿宋_GBK" w:cs="方正仿宋_GBK"/>
          <w:b/>
          <w:bCs/>
          <w:color w:val="auto"/>
          <w:kern w:val="0"/>
          <w:sz w:val="32"/>
          <w:szCs w:val="32"/>
          <w:highlight w:val="none"/>
          <w:lang w:bidi="ar"/>
        </w:rPr>
        <w:t>条</w:t>
      </w:r>
      <w:r>
        <w:rPr>
          <w:rFonts w:hint="eastAsia" w:ascii="方正仿宋_GBK" w:hAnsi="方正仿宋_GBK" w:eastAsia="方正仿宋_GBK" w:cs="方正仿宋_GBK"/>
          <w:b/>
          <w:bCs/>
          <w:color w:val="auto"/>
          <w:w w:val="100"/>
          <w:kern w:val="0"/>
          <w:sz w:val="32"/>
          <w:szCs w:val="32"/>
          <w:highlight w:val="none"/>
          <w:lang w:bidi="ar"/>
        </w:rPr>
        <w:t xml:space="preserve"> </w:t>
      </w:r>
      <w:r>
        <w:rPr>
          <w:rFonts w:hint="eastAsia" w:ascii="方正仿宋_GBK" w:hAnsi="方正仿宋_GBK" w:eastAsia="方正仿宋_GBK" w:cs="方正仿宋_GBK"/>
          <w:color w:val="auto"/>
          <w:sz w:val="32"/>
          <w:szCs w:val="32"/>
          <w:highlight w:val="none"/>
        </w:rPr>
        <w:t>本细则适用于2025年6月1日（含）以后投产的新能源项目（简称“增量项目”），不含跨省跨区通道配套新能源项目。</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第三条 </w:t>
      </w:r>
      <w:r>
        <w:rPr>
          <w:rFonts w:hint="eastAsia" w:ascii="方正仿宋_GBK" w:hAnsi="方正仿宋_GBK" w:eastAsia="方正仿宋_GBK" w:cs="方正仿宋_GBK"/>
          <w:color w:val="auto"/>
          <w:sz w:val="32"/>
          <w:szCs w:val="32"/>
          <w:highlight w:val="none"/>
          <w:lang w:val="en-US" w:eastAsia="zh-CN"/>
        </w:rPr>
        <w:t>本细则所称机制电价指新能源参与电力市场交易后，在市场外建立差价结算机制的电价水平。机制电量指纳入机制的新能源电量规模。执行期限指新能源机制电价执行时间。</w:t>
      </w:r>
      <w:r>
        <w:rPr>
          <w:rFonts w:hint="eastAsia" w:ascii="方正仿宋_GBK" w:hAnsi="方正仿宋_GBK" w:eastAsia="方正仿宋_GBK" w:cs="方正仿宋_GBK"/>
          <w:color w:val="auto"/>
          <w:kern w:val="2"/>
          <w:sz w:val="32"/>
          <w:szCs w:val="32"/>
          <w:highlight w:val="none"/>
          <w:lang w:eastAsia="zh-CN" w:bidi="ar"/>
        </w:rPr>
        <w:t>市场交易按照存量项目有关规则执行。</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第四条 </w:t>
      </w:r>
      <w:r>
        <w:rPr>
          <w:rFonts w:hint="eastAsia" w:ascii="方正仿宋_GBK" w:hAnsi="方正仿宋_GBK" w:eastAsia="方正仿宋_GBK" w:cs="方正仿宋_GBK"/>
          <w:color w:val="auto"/>
          <w:sz w:val="32"/>
          <w:szCs w:val="32"/>
          <w:highlight w:val="none"/>
          <w:lang w:val="en-US" w:eastAsia="zh-CN"/>
        </w:rPr>
        <w:t>本细则所称新能源项目主要包括集中式光伏、集中式风电、分布式光伏、分散式风电等。</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第五条 </w:t>
      </w:r>
      <w:r>
        <w:rPr>
          <w:rFonts w:hint="eastAsia" w:ascii="方正仿宋_GBK" w:hAnsi="方正仿宋_GBK" w:eastAsia="方正仿宋_GBK" w:cs="方正仿宋_GBK"/>
          <w:color w:val="auto"/>
          <w:sz w:val="32"/>
          <w:szCs w:val="32"/>
          <w:highlight w:val="none"/>
          <w:lang w:val="en-US" w:eastAsia="zh-CN"/>
        </w:rPr>
        <w:t>本细则所称投产指新能源项目原则上按照核准（备案）文件载明的建设容量全部建成并网（即全容量并网）。</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eastAsia="zh-CN" w:bidi="ar"/>
        </w:rPr>
        <w:t>六</w:t>
      </w:r>
      <w:r>
        <w:rPr>
          <w:rFonts w:hint="eastAsia" w:ascii="方正仿宋_GBK" w:hAnsi="方正仿宋_GBK" w:eastAsia="方正仿宋_GBK" w:cs="方正仿宋_GBK"/>
          <w:b/>
          <w:bCs/>
          <w:color w:val="auto"/>
          <w:kern w:val="0"/>
          <w:sz w:val="32"/>
          <w:szCs w:val="32"/>
          <w:highlight w:val="none"/>
          <w:lang w:bidi="ar"/>
        </w:rPr>
        <w:t xml:space="preserve">条 </w:t>
      </w:r>
      <w:r>
        <w:rPr>
          <w:rFonts w:hint="eastAsia" w:ascii="方正仿宋_GBK" w:hAnsi="方正仿宋_GBK" w:eastAsia="方正仿宋_GBK" w:cs="方正仿宋_GBK"/>
          <w:color w:val="auto"/>
          <w:sz w:val="32"/>
          <w:szCs w:val="32"/>
          <w:highlight w:val="none"/>
          <w:lang w:val="en-US" w:eastAsia="zh-CN"/>
        </w:rPr>
        <w:t>机制电价</w:t>
      </w:r>
      <w:r>
        <w:rPr>
          <w:rFonts w:hint="eastAsia" w:ascii="方正仿宋_GBK" w:hAnsi="方正仿宋_GBK" w:eastAsia="方正仿宋_GBK" w:cs="方正仿宋_GBK"/>
          <w:color w:val="auto"/>
          <w:kern w:val="2"/>
          <w:sz w:val="32"/>
          <w:szCs w:val="32"/>
          <w:highlight w:val="none"/>
        </w:rPr>
        <w:t>竞价工作由省发展改革委会同省能源局</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eastAsia="zh-CN"/>
        </w:rPr>
        <w:t>山西能源监管办</w:t>
      </w:r>
      <w:r>
        <w:rPr>
          <w:rFonts w:hint="eastAsia" w:ascii="方正仿宋_GBK" w:hAnsi="方正仿宋_GBK" w:eastAsia="方正仿宋_GBK" w:cs="方正仿宋_GBK"/>
          <w:color w:val="auto"/>
          <w:kern w:val="2"/>
          <w:sz w:val="32"/>
          <w:szCs w:val="32"/>
          <w:highlight w:val="none"/>
        </w:rPr>
        <w:t>牵头组织，省电力公司负责</w:t>
      </w:r>
      <w:r>
        <w:rPr>
          <w:rFonts w:hint="eastAsia" w:ascii="方正仿宋_GBK" w:hAnsi="方正仿宋_GBK" w:eastAsia="方正仿宋_GBK" w:cs="方正仿宋_GBK"/>
          <w:color w:val="auto"/>
          <w:kern w:val="2"/>
          <w:sz w:val="32"/>
          <w:szCs w:val="32"/>
          <w:highlight w:val="none"/>
          <w:lang w:eastAsia="zh-CN"/>
        </w:rPr>
        <w:t>具体组织实施</w:t>
      </w:r>
      <w:r>
        <w:rPr>
          <w:rFonts w:hint="eastAsia" w:ascii="方正仿宋_GBK" w:hAnsi="方正仿宋_GBK" w:eastAsia="方正仿宋_GBK" w:cs="方正仿宋_GBK"/>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第二章 机制电量</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eastAsia="zh-CN" w:bidi="ar"/>
        </w:rPr>
        <w:t>七</w:t>
      </w:r>
      <w:r>
        <w:rPr>
          <w:rFonts w:hint="eastAsia" w:ascii="方正仿宋_GBK" w:hAnsi="方正仿宋_GBK" w:eastAsia="方正仿宋_GBK" w:cs="方正仿宋_GBK"/>
          <w:b/>
          <w:bCs/>
          <w:color w:val="auto"/>
          <w:kern w:val="0"/>
          <w:sz w:val="32"/>
          <w:szCs w:val="32"/>
          <w:highlight w:val="none"/>
          <w:lang w:bidi="ar"/>
        </w:rPr>
        <w:t xml:space="preserve">条 </w:t>
      </w:r>
      <w:r>
        <w:rPr>
          <w:rFonts w:hint="eastAsia" w:ascii="方正仿宋_GBK" w:hAnsi="方正仿宋_GBK" w:eastAsia="方正仿宋_GBK" w:cs="方正仿宋_GBK"/>
          <w:color w:val="auto"/>
          <w:kern w:val="2"/>
          <w:sz w:val="32"/>
          <w:szCs w:val="32"/>
          <w:highlight w:val="none"/>
          <w:lang w:val="en-US" w:eastAsia="zh-CN"/>
        </w:rPr>
        <w:t>年度</w:t>
      </w:r>
      <w:r>
        <w:rPr>
          <w:rFonts w:hint="eastAsia" w:ascii="方正仿宋_GBK" w:hAnsi="方正仿宋_GBK" w:eastAsia="方正仿宋_GBK" w:cs="方正仿宋_GBK"/>
          <w:color w:val="auto"/>
          <w:kern w:val="2"/>
          <w:sz w:val="32"/>
          <w:szCs w:val="32"/>
          <w:highlight w:val="none"/>
        </w:rPr>
        <w:t>机制电量</w:t>
      </w:r>
      <w:r>
        <w:rPr>
          <w:rFonts w:hint="eastAsia" w:ascii="方正仿宋_GBK" w:hAnsi="方正仿宋_GBK" w:eastAsia="方正仿宋_GBK" w:cs="方正仿宋_GBK"/>
          <w:color w:val="auto"/>
          <w:kern w:val="2"/>
          <w:sz w:val="32"/>
          <w:szCs w:val="32"/>
          <w:highlight w:val="none"/>
          <w:lang w:val="en-US" w:eastAsia="zh-CN"/>
        </w:rPr>
        <w:t>总规模</w:t>
      </w:r>
      <w:r>
        <w:rPr>
          <w:rFonts w:hint="eastAsia" w:ascii="方正仿宋_GBK" w:hAnsi="方正仿宋_GBK" w:eastAsia="方正仿宋_GBK" w:cs="方正仿宋_GBK"/>
          <w:color w:val="auto"/>
          <w:sz w:val="32"/>
          <w:szCs w:val="32"/>
          <w:highlight w:val="none"/>
        </w:rPr>
        <w:t>与现有新能源非市场化</w:t>
      </w:r>
      <w:r>
        <w:rPr>
          <w:rFonts w:hint="eastAsia" w:ascii="方正仿宋_GBK" w:hAnsi="方正仿宋_GBK" w:eastAsia="方正仿宋_GBK" w:cs="方正仿宋_GBK"/>
          <w:color w:val="auto"/>
          <w:sz w:val="32"/>
          <w:szCs w:val="32"/>
          <w:highlight w:val="none"/>
          <w:lang w:eastAsia="zh-CN"/>
        </w:rPr>
        <w:t>电量</w:t>
      </w:r>
      <w:r>
        <w:rPr>
          <w:rFonts w:hint="eastAsia" w:ascii="方正仿宋_GBK" w:hAnsi="方正仿宋_GBK" w:eastAsia="方正仿宋_GBK" w:cs="方正仿宋_GBK"/>
          <w:color w:val="auto"/>
          <w:sz w:val="32"/>
          <w:szCs w:val="32"/>
          <w:highlight w:val="none"/>
        </w:rPr>
        <w:t>比例适当衔接，考虑用户承受能力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国家下达的年度非水电可再生能源电力消纳责任权重完成情况，以及电力市场建设等因素</w:t>
      </w:r>
      <w:r>
        <w:rPr>
          <w:rFonts w:hint="eastAsia" w:ascii="方正仿宋_GBK" w:hAnsi="方正仿宋_GBK" w:eastAsia="方正仿宋_GBK" w:cs="方正仿宋_GBK"/>
          <w:color w:val="auto"/>
          <w:sz w:val="32"/>
          <w:szCs w:val="32"/>
          <w:highlight w:val="none"/>
          <w:lang w:eastAsia="zh-CN"/>
        </w:rPr>
        <w:t>确定。</w:t>
      </w:r>
      <w:r>
        <w:rPr>
          <w:rFonts w:hint="eastAsia" w:ascii="方正仿宋_GBK" w:hAnsi="方正仿宋_GBK" w:eastAsia="方正仿宋_GBK" w:cs="方正仿宋_GBK"/>
          <w:color w:val="auto"/>
          <w:kern w:val="2"/>
          <w:sz w:val="32"/>
          <w:szCs w:val="32"/>
          <w:highlight w:val="none"/>
        </w:rPr>
        <w:t>当年完成情况预计超出消纳责任权重的，次年机制电量规模可适当减少</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未完成的，次年机制电量规模可适当增加</w:t>
      </w:r>
      <w:r>
        <w:rPr>
          <w:rFonts w:hint="eastAsia" w:ascii="方正仿宋_GBK" w:hAnsi="方正仿宋_GBK" w:eastAsia="方正仿宋_GBK" w:cs="方正仿宋_GBK"/>
          <w:color w:val="auto"/>
          <w:kern w:val="2"/>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bidi="ar"/>
        </w:rPr>
      </w:pPr>
      <w:r>
        <w:rPr>
          <w:rFonts w:hint="eastAsia" w:ascii="方正仿宋_GBK" w:hAnsi="方正仿宋_GBK" w:eastAsia="方正仿宋_GBK" w:cs="方正仿宋_GBK"/>
          <w:color w:val="auto"/>
          <w:kern w:val="2"/>
          <w:sz w:val="32"/>
          <w:szCs w:val="32"/>
          <w:highlight w:val="none"/>
          <w:lang w:val="en-US" w:eastAsia="zh-CN" w:bidi="ar"/>
        </w:rPr>
        <w:t>年度机制电量总规模=年度新能源预计投产规模×合理利用小时数×（1-新能源平均厂用电率）×机制电量比例×调节系数。初期，年度机制电量总规模可分风电、光伏两种类型分别确定。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eastAsia="zh-CN" w:bidi="ar"/>
        </w:rPr>
      </w:pPr>
      <w:r>
        <w:rPr>
          <w:rFonts w:hint="eastAsia" w:ascii="方正仿宋_GBK" w:hAnsi="方正仿宋_GBK" w:eastAsia="方正仿宋_GBK" w:cs="方正仿宋_GBK"/>
          <w:color w:val="auto"/>
          <w:kern w:val="2"/>
          <w:sz w:val="32"/>
          <w:szCs w:val="32"/>
          <w:highlight w:val="none"/>
          <w:lang w:val="en-US" w:eastAsia="zh-CN" w:bidi="ar"/>
        </w:rPr>
        <w:t>其中，年度新能源预计投产规模根据能源投产规划、计划确定；合理利用小时数按照风电、光伏近三年平均值确定；新能源平均厂用电率按照近三年全省平均水平确定；机制电量比例原则上按照新能源项目2022年7月至2025年5月非市场化电量平均占比确定；调节系数根据非水</w:t>
      </w:r>
      <w:r>
        <w:rPr>
          <w:rFonts w:hint="eastAsia" w:ascii="方正仿宋_GBK" w:hAnsi="方正仿宋_GBK" w:eastAsia="方正仿宋_GBK" w:cs="方正仿宋_GBK"/>
          <w:color w:val="auto"/>
          <w:kern w:val="2"/>
          <w:sz w:val="32"/>
          <w:szCs w:val="32"/>
          <w:highlight w:val="none"/>
          <w:lang w:eastAsia="zh-CN" w:bidi="ar"/>
        </w:rPr>
        <w:t>可再生能源</w:t>
      </w:r>
      <w:r>
        <w:rPr>
          <w:rFonts w:hint="eastAsia" w:ascii="方正仿宋_GBK" w:hAnsi="方正仿宋_GBK" w:eastAsia="方正仿宋_GBK" w:cs="方正仿宋_GBK"/>
          <w:color w:val="auto"/>
          <w:kern w:val="2"/>
          <w:sz w:val="32"/>
          <w:szCs w:val="32"/>
          <w:highlight w:val="none"/>
          <w:lang w:bidi="ar"/>
        </w:rPr>
        <w:t>消纳责任权重</w:t>
      </w:r>
      <w:r>
        <w:rPr>
          <w:rFonts w:hint="eastAsia" w:ascii="方正仿宋_GBK" w:hAnsi="方正仿宋_GBK" w:eastAsia="方正仿宋_GBK" w:cs="方正仿宋_GBK"/>
          <w:color w:val="auto"/>
          <w:kern w:val="2"/>
          <w:sz w:val="32"/>
          <w:szCs w:val="32"/>
          <w:highlight w:val="none"/>
          <w:lang w:eastAsia="zh-CN" w:bidi="ar"/>
        </w:rPr>
        <w:t>完成情况设定。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eastAsia="zh-CN" w:bidi="ar"/>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val="en-US" w:eastAsia="zh-CN" w:bidi="ar"/>
        </w:rPr>
        <w:t>八</w:t>
      </w:r>
      <w:r>
        <w:rPr>
          <w:rFonts w:hint="eastAsia" w:ascii="方正仿宋_GBK" w:hAnsi="方正仿宋_GBK" w:eastAsia="方正仿宋_GBK" w:cs="方正仿宋_GBK"/>
          <w:b/>
          <w:bCs/>
          <w:color w:val="auto"/>
          <w:kern w:val="0"/>
          <w:sz w:val="32"/>
          <w:szCs w:val="32"/>
          <w:highlight w:val="none"/>
          <w:lang w:bidi="ar"/>
        </w:rPr>
        <w:t xml:space="preserve">条 </w:t>
      </w:r>
      <w:r>
        <w:rPr>
          <w:rFonts w:hint="eastAsia" w:ascii="方正仿宋_GBK" w:hAnsi="方正仿宋_GBK" w:eastAsia="方正仿宋_GBK" w:cs="方正仿宋_GBK"/>
          <w:color w:val="auto"/>
          <w:kern w:val="2"/>
          <w:sz w:val="32"/>
          <w:szCs w:val="32"/>
          <w:highlight w:val="none"/>
          <w:lang w:val="en-US" w:eastAsia="zh-CN" w:bidi="ar"/>
        </w:rPr>
        <w:t>单个项目的机制电量通过竞价确定。</w:t>
      </w:r>
      <w:r>
        <w:rPr>
          <w:rFonts w:hint="eastAsia" w:ascii="方正仿宋_GBK" w:hAnsi="方正仿宋_GBK" w:eastAsia="方正仿宋_GBK" w:cs="方正仿宋_GBK"/>
          <w:color w:val="auto"/>
          <w:sz w:val="32"/>
          <w:szCs w:val="32"/>
          <w:highlight w:val="none"/>
          <w:lang w:bidi="ar"/>
        </w:rPr>
        <w:t>为避免入选项目在参与电力市场交易时非理性报价，单个增量项目申报纳入机制的电量原则上应低于其全部上网电量，在组织竞价时设定申报上限。</w:t>
      </w:r>
      <w:r>
        <w:rPr>
          <w:rFonts w:hint="eastAsia" w:ascii="方正仿宋_GBK" w:hAnsi="方正仿宋_GBK" w:eastAsia="方正仿宋_GBK" w:cs="方正仿宋_GBK"/>
          <w:color w:val="auto"/>
          <w:sz w:val="32"/>
          <w:szCs w:val="32"/>
          <w:highlight w:val="none"/>
          <w:lang w:eastAsia="zh-CN" w:bidi="ar"/>
        </w:rPr>
        <w:t>入选项目月度结算时机制电量比例按照申报</w:t>
      </w:r>
      <w:r>
        <w:rPr>
          <w:rFonts w:hint="eastAsia" w:ascii="方正仿宋_GBK" w:hAnsi="方正仿宋_GBK" w:eastAsia="方正仿宋_GBK" w:cs="方正仿宋_GBK"/>
          <w:color w:val="auto"/>
          <w:sz w:val="32"/>
          <w:szCs w:val="32"/>
          <w:highlight w:val="none"/>
          <w:lang w:val="en-US" w:eastAsia="zh-CN" w:bidi="ar"/>
        </w:rPr>
        <w:t>机制</w:t>
      </w:r>
      <w:r>
        <w:rPr>
          <w:rFonts w:hint="eastAsia" w:ascii="方正仿宋_GBK" w:hAnsi="方正仿宋_GBK" w:eastAsia="方正仿宋_GBK" w:cs="方正仿宋_GBK"/>
          <w:color w:val="auto"/>
          <w:sz w:val="32"/>
          <w:szCs w:val="32"/>
          <w:highlight w:val="none"/>
          <w:lang w:eastAsia="zh-CN" w:bidi="ar"/>
        </w:rPr>
        <w:t>电量</w:t>
      </w:r>
      <w:r>
        <w:rPr>
          <w:rFonts w:hint="eastAsia" w:ascii="方正仿宋_GBK" w:hAnsi="方正仿宋_GBK" w:eastAsia="方正仿宋_GBK" w:cs="方正仿宋_GBK"/>
          <w:color w:val="auto"/>
          <w:sz w:val="32"/>
          <w:szCs w:val="32"/>
          <w:highlight w:val="none"/>
          <w:lang w:val="en-US" w:eastAsia="zh-CN" w:bidi="ar"/>
        </w:rPr>
        <w:t>上限</w:t>
      </w:r>
      <w:r>
        <w:rPr>
          <w:rFonts w:hint="eastAsia" w:ascii="方正仿宋_GBK" w:hAnsi="方正仿宋_GBK" w:eastAsia="方正仿宋_GBK" w:cs="方正仿宋_GBK"/>
          <w:color w:val="auto"/>
          <w:sz w:val="32"/>
          <w:szCs w:val="32"/>
          <w:highlight w:val="none"/>
          <w:lang w:eastAsia="zh-CN" w:bidi="ar"/>
        </w:rPr>
        <w:t>比例执行，“</w:t>
      </w:r>
      <w:r>
        <w:rPr>
          <w:rFonts w:hint="eastAsia" w:ascii="方正仿宋_GBK" w:hAnsi="方正仿宋_GBK" w:eastAsia="方正仿宋_GBK" w:cs="方正仿宋_GBK"/>
          <w:color w:val="auto"/>
          <w:sz w:val="32"/>
          <w:szCs w:val="32"/>
          <w:highlight w:val="none"/>
          <w:lang w:val="en-US" w:eastAsia="zh-CN" w:bidi="ar"/>
        </w:rPr>
        <w:t>自发自用、余电上网</w:t>
      </w:r>
      <w:r>
        <w:rPr>
          <w:rFonts w:hint="eastAsia" w:ascii="方正仿宋_GBK" w:hAnsi="方正仿宋_GBK" w:eastAsia="方正仿宋_GBK" w:cs="方正仿宋_GBK"/>
          <w:color w:val="auto"/>
          <w:sz w:val="32"/>
          <w:szCs w:val="32"/>
          <w:highlight w:val="none"/>
          <w:lang w:eastAsia="zh-CN" w:bidi="ar"/>
        </w:rPr>
        <w:t>”</w:t>
      </w:r>
      <w:r>
        <w:rPr>
          <w:rFonts w:hint="eastAsia" w:ascii="方正仿宋_GBK" w:hAnsi="方正仿宋_GBK" w:eastAsia="方正仿宋_GBK" w:cs="方正仿宋_GBK"/>
          <w:color w:val="auto"/>
          <w:sz w:val="32"/>
          <w:szCs w:val="32"/>
          <w:highlight w:val="none"/>
          <w:lang w:val="en-US" w:eastAsia="zh-CN" w:bidi="ar"/>
        </w:rPr>
        <w:t>项目结算机制电量时要在竞得机制电量的基础上扣除自发自用电量</w:t>
      </w:r>
      <w:r>
        <w:rPr>
          <w:rFonts w:hint="eastAsia" w:ascii="方正仿宋_GBK" w:hAnsi="方正仿宋_GBK" w:eastAsia="方正仿宋_GBK" w:cs="方正仿宋_GBK"/>
          <w:color w:val="auto"/>
          <w:sz w:val="32"/>
          <w:szCs w:val="32"/>
          <w:highlight w:val="none"/>
          <w:lang w:eastAsia="zh-CN" w:bidi="ar"/>
        </w:rPr>
        <w:t>。</w:t>
      </w:r>
      <w:r>
        <w:rPr>
          <w:rFonts w:hint="eastAsia" w:ascii="方正仿宋_GBK" w:hAnsi="方正仿宋_GBK" w:eastAsia="方正仿宋_GBK" w:cs="方正仿宋_GBK"/>
          <w:color w:val="auto"/>
          <w:sz w:val="32"/>
          <w:szCs w:val="32"/>
          <w:highlight w:val="none"/>
          <w:lang w:bidi="ar"/>
        </w:rPr>
        <w:t>若当年已结算机制电量达到年度机制电量总规模，则当月超过部分及后续月不再执行机制电价，若年底仍未达到年度机制电量总规模，则缺额部分不再执行机制电价，不进行跨年滚动。</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color w:val="auto"/>
          <w:kern w:val="2"/>
          <w:sz w:val="32"/>
          <w:szCs w:val="32"/>
          <w:highlight w:val="none"/>
          <w:lang w:bidi="ar"/>
        </w:rPr>
        <w:t>项目申报</w:t>
      </w:r>
      <w:r>
        <w:rPr>
          <w:rFonts w:hint="eastAsia" w:ascii="方正仿宋_GBK" w:hAnsi="方正仿宋_GBK" w:eastAsia="方正仿宋_GBK" w:cs="方正仿宋_GBK"/>
          <w:color w:val="auto"/>
          <w:kern w:val="2"/>
          <w:sz w:val="32"/>
          <w:szCs w:val="32"/>
          <w:highlight w:val="none"/>
          <w:lang w:eastAsia="zh-CN" w:bidi="ar"/>
        </w:rPr>
        <w:t>机制电量</w:t>
      </w:r>
      <w:r>
        <w:rPr>
          <w:rFonts w:hint="eastAsia" w:ascii="方正仿宋_GBK" w:hAnsi="方正仿宋_GBK" w:eastAsia="方正仿宋_GBK" w:cs="方正仿宋_GBK"/>
          <w:color w:val="auto"/>
          <w:kern w:val="2"/>
          <w:sz w:val="32"/>
          <w:szCs w:val="32"/>
          <w:highlight w:val="none"/>
          <w:lang w:bidi="ar"/>
        </w:rPr>
        <w:t>上限=项目装机容量×近三年</w:t>
      </w:r>
      <w:r>
        <w:rPr>
          <w:rFonts w:hint="eastAsia" w:ascii="方正仿宋_GBK" w:hAnsi="方正仿宋_GBK" w:eastAsia="方正仿宋_GBK" w:cs="方正仿宋_GBK"/>
          <w:color w:val="auto"/>
          <w:kern w:val="2"/>
          <w:sz w:val="32"/>
          <w:szCs w:val="32"/>
          <w:highlight w:val="none"/>
          <w:lang w:eastAsia="zh-CN" w:bidi="ar"/>
        </w:rPr>
        <w:t>本地区</w:t>
      </w:r>
      <w:r>
        <w:rPr>
          <w:rFonts w:hint="eastAsia" w:ascii="方正仿宋_GBK" w:hAnsi="方正仿宋_GBK" w:eastAsia="方正仿宋_GBK" w:cs="方正仿宋_GBK"/>
          <w:color w:val="auto"/>
          <w:kern w:val="2"/>
          <w:sz w:val="32"/>
          <w:szCs w:val="32"/>
          <w:highlight w:val="none"/>
          <w:lang w:bidi="ar"/>
        </w:rPr>
        <w:t>同类型电源平均发电利用小时数×（1-平均厂用电率）×</w:t>
      </w:r>
      <w:r>
        <w:rPr>
          <w:rFonts w:hint="eastAsia" w:ascii="方正仿宋_GBK" w:hAnsi="方正仿宋_GBK" w:eastAsia="方正仿宋_GBK" w:cs="方正仿宋_GBK"/>
          <w:color w:val="auto"/>
          <w:kern w:val="2"/>
          <w:sz w:val="32"/>
          <w:szCs w:val="32"/>
          <w:highlight w:val="none"/>
          <w:lang w:eastAsia="zh-CN" w:bidi="ar"/>
        </w:rPr>
        <w:t>上限</w:t>
      </w:r>
      <w:r>
        <w:rPr>
          <w:rFonts w:hint="eastAsia" w:ascii="方正仿宋_GBK" w:hAnsi="方正仿宋_GBK" w:eastAsia="方正仿宋_GBK" w:cs="方正仿宋_GBK"/>
          <w:color w:val="auto"/>
          <w:kern w:val="2"/>
          <w:sz w:val="32"/>
          <w:szCs w:val="32"/>
          <w:highlight w:val="none"/>
          <w:lang w:bidi="ar"/>
        </w:rPr>
        <w:t>比例</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bidi="ar"/>
        </w:rPr>
      </w:pPr>
      <w:r>
        <w:rPr>
          <w:rFonts w:hint="eastAsia" w:ascii="方正仿宋_GBK" w:hAnsi="方正仿宋_GBK" w:eastAsia="方正仿宋_GBK" w:cs="方正仿宋_GBK"/>
          <w:color w:val="auto"/>
          <w:sz w:val="32"/>
          <w:szCs w:val="32"/>
          <w:highlight w:val="none"/>
          <w:lang w:eastAsia="zh-CN" w:bidi="ar"/>
        </w:rPr>
        <w:t>“</w:t>
      </w:r>
      <w:r>
        <w:rPr>
          <w:rFonts w:hint="eastAsia" w:ascii="方正仿宋_GBK" w:hAnsi="方正仿宋_GBK" w:eastAsia="方正仿宋_GBK" w:cs="方正仿宋_GBK"/>
          <w:color w:val="auto"/>
          <w:sz w:val="32"/>
          <w:szCs w:val="32"/>
          <w:highlight w:val="none"/>
          <w:lang w:val="en-US" w:eastAsia="zh-CN" w:bidi="ar"/>
        </w:rPr>
        <w:t>自发自用、余电上网</w:t>
      </w:r>
      <w:r>
        <w:rPr>
          <w:rFonts w:hint="eastAsia" w:ascii="方正仿宋_GBK" w:hAnsi="方正仿宋_GBK" w:eastAsia="方正仿宋_GBK" w:cs="方正仿宋_GBK"/>
          <w:color w:val="auto"/>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项目申报机制电量上限=项目装机容量×</w:t>
      </w:r>
      <w:r>
        <w:rPr>
          <w:rFonts w:hint="eastAsia" w:ascii="方正仿宋_GBK" w:hAnsi="方正仿宋_GBK" w:eastAsia="方正仿宋_GBK" w:cs="方正仿宋_GBK"/>
          <w:color w:val="auto"/>
          <w:kern w:val="2"/>
          <w:sz w:val="32"/>
          <w:szCs w:val="32"/>
          <w:highlight w:val="none"/>
          <w:lang w:bidi="ar"/>
        </w:rPr>
        <w:t>近三年</w:t>
      </w:r>
      <w:r>
        <w:rPr>
          <w:rFonts w:hint="eastAsia" w:ascii="方正仿宋_GBK" w:hAnsi="方正仿宋_GBK" w:eastAsia="方正仿宋_GBK" w:cs="方正仿宋_GBK"/>
          <w:color w:val="auto"/>
          <w:kern w:val="2"/>
          <w:sz w:val="32"/>
          <w:szCs w:val="32"/>
          <w:highlight w:val="none"/>
          <w:lang w:eastAsia="zh-CN" w:bidi="ar"/>
        </w:rPr>
        <w:t>本地区</w:t>
      </w:r>
      <w:r>
        <w:rPr>
          <w:rFonts w:hint="eastAsia" w:ascii="方正仿宋_GBK" w:hAnsi="方正仿宋_GBK" w:eastAsia="方正仿宋_GBK" w:cs="方正仿宋_GBK"/>
          <w:color w:val="auto"/>
          <w:kern w:val="2"/>
          <w:sz w:val="32"/>
          <w:szCs w:val="32"/>
          <w:highlight w:val="none"/>
          <w:lang w:val="en-US" w:eastAsia="zh-CN" w:bidi="ar"/>
        </w:rPr>
        <w:t>同类型电源平均发电利用小时数×（1-</w:t>
      </w:r>
      <w:r>
        <w:rPr>
          <w:rFonts w:hint="eastAsia" w:ascii="方正仿宋_GBK" w:hAnsi="方正仿宋_GBK" w:eastAsia="方正仿宋_GBK" w:cs="方正仿宋_GBK"/>
          <w:color w:val="auto"/>
          <w:kern w:val="2"/>
          <w:sz w:val="32"/>
          <w:szCs w:val="32"/>
          <w:highlight w:val="none"/>
          <w:lang w:bidi="ar"/>
        </w:rPr>
        <w:t>平均</w:t>
      </w:r>
      <w:r>
        <w:rPr>
          <w:rFonts w:hint="eastAsia" w:ascii="方正仿宋_GBK" w:hAnsi="方正仿宋_GBK" w:eastAsia="方正仿宋_GBK" w:cs="方正仿宋_GBK"/>
          <w:color w:val="auto"/>
          <w:kern w:val="2"/>
          <w:sz w:val="32"/>
          <w:szCs w:val="32"/>
          <w:highlight w:val="none"/>
          <w:lang w:val="en-US" w:eastAsia="zh-CN" w:bidi="ar"/>
        </w:rPr>
        <w:t>厂用电率）×上限比例（含自发自用电量）</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bidi="ar"/>
        </w:rPr>
      </w:pPr>
      <w:r>
        <w:rPr>
          <w:rFonts w:hint="eastAsia" w:ascii="方正仿宋_GBK" w:hAnsi="方正仿宋_GBK" w:eastAsia="方正仿宋_GBK" w:cs="方正仿宋_GBK"/>
          <w:color w:val="auto"/>
          <w:kern w:val="2"/>
          <w:sz w:val="32"/>
          <w:szCs w:val="32"/>
          <w:highlight w:val="none"/>
          <w:lang w:bidi="ar"/>
        </w:rPr>
        <w:t>近三年</w:t>
      </w:r>
      <w:r>
        <w:rPr>
          <w:rFonts w:hint="eastAsia" w:ascii="方正仿宋_GBK" w:hAnsi="方正仿宋_GBK" w:eastAsia="方正仿宋_GBK" w:cs="方正仿宋_GBK"/>
          <w:color w:val="auto"/>
          <w:kern w:val="2"/>
          <w:sz w:val="32"/>
          <w:szCs w:val="32"/>
          <w:highlight w:val="none"/>
          <w:lang w:eastAsia="zh-CN" w:bidi="ar"/>
        </w:rPr>
        <w:t>本地区</w:t>
      </w:r>
      <w:r>
        <w:rPr>
          <w:rFonts w:hint="eastAsia" w:ascii="方正仿宋_GBK" w:hAnsi="方正仿宋_GBK" w:eastAsia="方正仿宋_GBK" w:cs="方正仿宋_GBK"/>
          <w:color w:val="auto"/>
          <w:kern w:val="2"/>
          <w:sz w:val="32"/>
          <w:szCs w:val="32"/>
          <w:highlight w:val="none"/>
          <w:lang w:val="en-US" w:eastAsia="zh-CN" w:bidi="ar"/>
        </w:rPr>
        <w:t>同类型电源平均发电利用小时数，本地区指所在设区市。</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
        </w:rPr>
      </w:pPr>
      <w:r>
        <w:rPr>
          <w:rFonts w:hint="eastAsia" w:ascii="方正仿宋_GBK" w:hAnsi="方正仿宋_GBK" w:eastAsia="方正仿宋_GBK" w:cs="方正仿宋_GBK"/>
          <w:b w:val="0"/>
          <w:bCs w:val="0"/>
          <w:color w:val="auto"/>
          <w:kern w:val="2"/>
          <w:sz w:val="32"/>
          <w:szCs w:val="32"/>
          <w:highlight w:val="none"/>
          <w:lang w:bidi="ar"/>
        </w:rPr>
        <w:t>平均厂用电率</w:t>
      </w:r>
      <w:r>
        <w:rPr>
          <w:rFonts w:hint="eastAsia" w:ascii="方正仿宋_GBK" w:hAnsi="方正仿宋_GBK" w:eastAsia="方正仿宋_GBK" w:cs="方正仿宋_GBK"/>
          <w:b w:val="0"/>
          <w:bCs w:val="0"/>
          <w:color w:val="auto"/>
          <w:kern w:val="2"/>
          <w:sz w:val="32"/>
          <w:szCs w:val="32"/>
          <w:highlight w:val="none"/>
          <w:lang w:eastAsia="zh-CN" w:bidi="ar"/>
        </w:rPr>
        <w:t>按照近三年全省平均水平确定，其中低压分布式光伏项目（</w:t>
      </w:r>
      <w:r>
        <w:rPr>
          <w:rFonts w:hint="eastAsia" w:ascii="方正仿宋_GBK" w:hAnsi="方正仿宋_GBK" w:eastAsia="方正仿宋_GBK" w:cs="方正仿宋_GBK"/>
          <w:b w:val="0"/>
          <w:bCs w:val="0"/>
          <w:color w:val="auto"/>
          <w:kern w:val="2"/>
          <w:sz w:val="32"/>
          <w:szCs w:val="32"/>
          <w:highlight w:val="none"/>
          <w:lang w:val="en-US" w:eastAsia="zh-CN" w:bidi="ar"/>
        </w:rPr>
        <w:t>380V/220V</w:t>
      </w:r>
      <w:r>
        <w:rPr>
          <w:rFonts w:hint="eastAsia" w:ascii="方正仿宋_GBK" w:hAnsi="方正仿宋_GBK" w:eastAsia="方正仿宋_GBK" w:cs="方正仿宋_GBK"/>
          <w:b w:val="0"/>
          <w:bCs w:val="0"/>
          <w:color w:val="auto"/>
          <w:kern w:val="2"/>
          <w:sz w:val="32"/>
          <w:szCs w:val="32"/>
          <w:highlight w:val="none"/>
          <w:lang w:eastAsia="zh-CN" w:bidi="ar"/>
        </w:rPr>
        <w:t>）暂按</w:t>
      </w:r>
      <w:r>
        <w:rPr>
          <w:rFonts w:hint="eastAsia" w:ascii="方正仿宋_GBK" w:hAnsi="方正仿宋_GBK" w:eastAsia="方正仿宋_GBK" w:cs="方正仿宋_GBK"/>
          <w:b w:val="0"/>
          <w:bCs w:val="0"/>
          <w:color w:val="auto"/>
          <w:kern w:val="2"/>
          <w:sz w:val="32"/>
          <w:szCs w:val="32"/>
          <w:highlight w:val="none"/>
          <w:lang w:val="en-US" w:eastAsia="zh-CN" w:bidi="ar"/>
        </w:rPr>
        <w:t>0考虑。</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上限比例根据电力市场建设及新能源发展等情况确定。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第九条 </w:t>
      </w:r>
      <w:r>
        <w:rPr>
          <w:rFonts w:hint="eastAsia" w:ascii="方正仿宋_GBK" w:hAnsi="方正仿宋_GBK" w:eastAsia="方正仿宋_GBK" w:cs="方正仿宋_GBK"/>
          <w:color w:val="auto"/>
          <w:kern w:val="2"/>
          <w:sz w:val="32"/>
          <w:szCs w:val="32"/>
          <w:highlight w:val="none"/>
          <w:lang w:val="en-US" w:eastAsia="zh-CN"/>
        </w:rPr>
        <w:t>聚合商应为代理的每个项目分别申报机制电量，其可申报机制电量上限为所代理每个项目的可申报机制电量上限之和。</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第十条 </w:t>
      </w:r>
      <w:r>
        <w:rPr>
          <w:rFonts w:hint="eastAsia" w:ascii="方正仿宋_GBK" w:hAnsi="方正仿宋_GBK" w:eastAsia="方正仿宋_GBK" w:cs="方正仿宋_GBK"/>
          <w:b w:val="0"/>
          <w:bCs w:val="0"/>
          <w:color w:val="auto"/>
          <w:kern w:val="2"/>
          <w:sz w:val="32"/>
          <w:szCs w:val="32"/>
          <w:highlight w:val="none"/>
          <w:lang w:val="en-US" w:eastAsia="zh-CN"/>
        </w:rPr>
        <w:t>机制电量</w:t>
      </w:r>
      <w:r>
        <w:rPr>
          <w:rFonts w:hint="eastAsia" w:ascii="方正仿宋_GBK" w:hAnsi="方正仿宋_GBK" w:eastAsia="方正仿宋_GBK" w:cs="方正仿宋_GBK"/>
          <w:color w:val="auto"/>
          <w:kern w:val="2"/>
          <w:sz w:val="32"/>
          <w:szCs w:val="32"/>
          <w:highlight w:val="none"/>
          <w:lang w:val="en-US" w:eastAsia="zh-CN"/>
        </w:rPr>
        <w:t>申报单位为“兆瓦时”，保留小数点后面3位。</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rPr>
          <w:rFonts w:hint="eastAsia" w:ascii="CESI仿宋-GB2312" w:hAnsi="CESI仿宋-GB2312" w:eastAsia="CESI仿宋-GB2312" w:cs="CESI仿宋-GB2312"/>
          <w:color w:val="auto"/>
          <w:kern w:val="0"/>
          <w:sz w:val="32"/>
          <w:szCs w:val="32"/>
          <w:highlight w:val="none"/>
          <w:lang w:bidi="ar"/>
        </w:rPr>
      </w:pPr>
    </w:p>
    <w:p>
      <w:pPr>
        <w:pStyle w:val="4"/>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第三章 机制电价</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val="en-US" w:eastAsia="zh-CN" w:bidi="ar"/>
        </w:rPr>
        <w:t>十一</w:t>
      </w:r>
      <w:r>
        <w:rPr>
          <w:rFonts w:hint="eastAsia" w:ascii="方正仿宋_GBK" w:hAnsi="方正仿宋_GBK" w:eastAsia="方正仿宋_GBK" w:cs="方正仿宋_GBK"/>
          <w:b/>
          <w:bCs/>
          <w:color w:val="auto"/>
          <w:kern w:val="0"/>
          <w:sz w:val="32"/>
          <w:szCs w:val="32"/>
          <w:highlight w:val="none"/>
          <w:lang w:bidi="ar"/>
        </w:rPr>
        <w:t xml:space="preserve">条 </w:t>
      </w:r>
      <w:r>
        <w:rPr>
          <w:rFonts w:hint="eastAsia" w:ascii="方正仿宋_GBK" w:hAnsi="方正仿宋_GBK" w:eastAsia="方正仿宋_GBK" w:cs="方正仿宋_GBK"/>
          <w:color w:val="auto"/>
          <w:sz w:val="32"/>
          <w:szCs w:val="32"/>
          <w:highlight w:val="none"/>
        </w:rPr>
        <w:t>机制电价由竞价形成，竞价采用边际出清方式确定出清价格，根据新能源项目的申报电量、申报价格，按申报价格由低到高排序，申报价格相同时，按申报时间优先排序，直至申报电量满足竞价电量总规模。最后入选项目申报电价即为当年所有入选项目的机制电价，但不得高于竞价上限，</w:t>
      </w:r>
      <w:r>
        <w:rPr>
          <w:rFonts w:hint="eastAsia" w:ascii="方正仿宋_GBK" w:hAnsi="方正仿宋_GBK" w:eastAsia="方正仿宋_GBK" w:cs="方正仿宋_GBK"/>
          <w:strike w:val="0"/>
          <w:dstrike w:val="0"/>
          <w:color w:val="auto"/>
          <w:sz w:val="32"/>
          <w:szCs w:val="32"/>
          <w:highlight w:val="none"/>
        </w:rPr>
        <w:t>成交的最后一个项目其入选电量不足申报电量的按申报电量全额成交</w:t>
      </w:r>
      <w:r>
        <w:rPr>
          <w:rFonts w:hint="eastAsia" w:ascii="方正仿宋_GBK" w:hAnsi="方正仿宋_GBK" w:eastAsia="方正仿宋_GBK" w:cs="方正仿宋_GBK"/>
          <w:strike w:val="0"/>
          <w:color w:val="auto"/>
          <w:sz w:val="32"/>
          <w:szCs w:val="32"/>
          <w:highlight w:val="none"/>
        </w:rPr>
        <w:t>。</w:t>
      </w:r>
      <w:r>
        <w:rPr>
          <w:rFonts w:hint="eastAsia" w:ascii="方正仿宋_GBK" w:hAnsi="方正仿宋_GBK" w:eastAsia="方正仿宋_GBK" w:cs="方正仿宋_GBK"/>
          <w:color w:val="auto"/>
          <w:sz w:val="32"/>
          <w:szCs w:val="32"/>
          <w:highlight w:val="none"/>
        </w:rPr>
        <w:t>初期，</w:t>
      </w:r>
      <w:r>
        <w:rPr>
          <w:rFonts w:hint="eastAsia" w:ascii="方正仿宋_GBK" w:hAnsi="方正仿宋_GBK" w:eastAsia="方正仿宋_GBK" w:cs="方正仿宋_GBK"/>
          <w:color w:val="auto"/>
          <w:sz w:val="32"/>
          <w:szCs w:val="32"/>
          <w:highlight w:val="none"/>
          <w:lang w:eastAsia="zh-CN"/>
        </w:rPr>
        <w:t>考虑</w:t>
      </w:r>
      <w:r>
        <w:rPr>
          <w:rFonts w:hint="eastAsia" w:ascii="方正仿宋_GBK" w:hAnsi="方正仿宋_GBK" w:eastAsia="方正仿宋_GBK" w:cs="方正仿宋_GBK"/>
          <w:color w:val="auto"/>
          <w:sz w:val="32"/>
          <w:szCs w:val="32"/>
          <w:highlight w:val="none"/>
        </w:rPr>
        <w:t>新能源项目成本差异较大，具备竞争条件的，按风电、光伏两类</w:t>
      </w:r>
      <w:r>
        <w:rPr>
          <w:rFonts w:hint="eastAsia" w:ascii="方正仿宋_GBK" w:hAnsi="方正仿宋_GBK" w:eastAsia="方正仿宋_GBK" w:cs="方正仿宋_GBK"/>
          <w:color w:val="auto"/>
          <w:sz w:val="32"/>
          <w:szCs w:val="32"/>
          <w:highlight w:val="none"/>
          <w:lang w:eastAsia="zh-CN"/>
        </w:rPr>
        <w:t>分别</w:t>
      </w:r>
      <w:r>
        <w:rPr>
          <w:rFonts w:hint="eastAsia" w:ascii="方正仿宋_GBK" w:hAnsi="方正仿宋_GBK" w:eastAsia="方正仿宋_GBK" w:cs="方正仿宋_GBK"/>
          <w:color w:val="auto"/>
          <w:sz w:val="32"/>
          <w:szCs w:val="32"/>
          <w:highlight w:val="none"/>
        </w:rPr>
        <w:t>组织竞价，分别形成机制电价</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kern w:val="0"/>
          <w:sz w:val="32"/>
          <w:szCs w:val="32"/>
          <w:highlight w:val="none"/>
          <w:lang w:eastAsia="zh-CN" w:bidi="ar"/>
        </w:rPr>
        <w:t>第</w:t>
      </w:r>
      <w:r>
        <w:rPr>
          <w:rFonts w:hint="eastAsia" w:ascii="方正仿宋_GBK" w:hAnsi="方正仿宋_GBK" w:eastAsia="方正仿宋_GBK" w:cs="方正仿宋_GBK"/>
          <w:b/>
          <w:bCs/>
          <w:color w:val="auto"/>
          <w:kern w:val="0"/>
          <w:sz w:val="32"/>
          <w:szCs w:val="32"/>
          <w:highlight w:val="none"/>
          <w:lang w:val="en-US" w:eastAsia="zh-CN" w:bidi="ar"/>
        </w:rPr>
        <w:t>十二</w:t>
      </w:r>
      <w:r>
        <w:rPr>
          <w:rFonts w:hint="eastAsia" w:ascii="方正仿宋_GBK" w:hAnsi="方正仿宋_GBK" w:eastAsia="方正仿宋_GBK" w:cs="方正仿宋_GBK"/>
          <w:b/>
          <w:bCs/>
          <w:color w:val="auto"/>
          <w:kern w:val="0"/>
          <w:sz w:val="32"/>
          <w:szCs w:val="32"/>
          <w:highlight w:val="none"/>
          <w:lang w:eastAsia="zh-CN" w:bidi="ar"/>
        </w:rPr>
        <w:t>条</w:t>
      </w:r>
      <w:r>
        <w:rPr>
          <w:rFonts w:hint="eastAsia" w:ascii="方正仿宋_GBK" w:hAnsi="方正仿宋_GBK" w:eastAsia="方正仿宋_GBK" w:cs="方正仿宋_GBK"/>
          <w:b/>
          <w:bCs/>
          <w:color w:val="auto"/>
          <w:kern w:val="0"/>
          <w:sz w:val="32"/>
          <w:szCs w:val="32"/>
          <w:highlight w:val="none"/>
          <w:lang w:val="en-US" w:eastAsia="zh-CN" w:bidi="ar"/>
        </w:rPr>
        <w:t xml:space="preserve"> </w:t>
      </w:r>
      <w:r>
        <w:rPr>
          <w:rFonts w:hint="eastAsia" w:ascii="方正仿宋_GBK" w:hAnsi="方正仿宋_GBK" w:eastAsia="方正仿宋_GBK" w:cs="方正仿宋_GBK"/>
          <w:color w:val="auto"/>
          <w:sz w:val="32"/>
          <w:szCs w:val="32"/>
          <w:highlight w:val="none"/>
        </w:rPr>
        <w:t>竞价上限考虑增量项目合理成本收益、绿色价值、电力市场供需形势、用户承受能力等因素确定</w:t>
      </w:r>
      <w:r>
        <w:rPr>
          <w:rFonts w:hint="eastAsia" w:ascii="方正仿宋_GBK" w:hAnsi="方正仿宋_GBK" w:eastAsia="方正仿宋_GBK" w:cs="方正仿宋_GBK"/>
          <w:color w:val="auto"/>
          <w:sz w:val="32"/>
          <w:szCs w:val="32"/>
          <w:highlight w:val="none"/>
          <w:lang w:eastAsia="zh-CN"/>
        </w:rPr>
        <w:t>。初期，为避免无序竞争，设定竞价下限，</w:t>
      </w:r>
      <w:r>
        <w:rPr>
          <w:rFonts w:hint="eastAsia" w:ascii="方正仿宋_GBK" w:hAnsi="方正仿宋_GBK" w:eastAsia="方正仿宋_GBK" w:cs="方正仿宋_GBK"/>
          <w:color w:val="auto"/>
          <w:sz w:val="32"/>
          <w:szCs w:val="32"/>
          <w:highlight w:val="none"/>
        </w:rPr>
        <w:t>竞价下限考虑最先进电站造价水平（仅包含固定成本）折算度电成本（不含收益）确定</w:t>
      </w:r>
      <w:r>
        <w:rPr>
          <w:rFonts w:hint="eastAsia" w:ascii="方正仿宋_GBK" w:hAnsi="方正仿宋_GBK" w:eastAsia="方正仿宋_GBK" w:cs="方正仿宋_GBK"/>
          <w:color w:val="auto"/>
          <w:sz w:val="32"/>
          <w:szCs w:val="32"/>
          <w:highlight w:val="none"/>
          <w:lang w:eastAsia="zh-CN"/>
        </w:rPr>
        <w:t>。首次竞价上限按</w:t>
      </w:r>
      <w:r>
        <w:rPr>
          <w:rFonts w:hint="eastAsia" w:ascii="方正仿宋_GBK" w:hAnsi="方正仿宋_GBK" w:eastAsia="方正仿宋_GBK" w:cs="方正仿宋_GBK"/>
          <w:color w:val="auto"/>
          <w:sz w:val="32"/>
          <w:szCs w:val="32"/>
          <w:highlight w:val="none"/>
          <w:lang w:val="en-US" w:eastAsia="zh-CN"/>
        </w:rPr>
        <w:t>我省燃煤发电基准价格确定为0.332元/千瓦时（含税），下限为</w:t>
      </w:r>
      <w:r>
        <w:rPr>
          <w:rFonts w:hint="eastAsia" w:ascii="方正仿宋_GBK" w:hAnsi="方正仿宋_GBK" w:eastAsia="方正仿宋_GBK" w:cs="方正仿宋_GBK"/>
          <w:strike w:val="0"/>
          <w:dstrike w:val="0"/>
          <w:color w:val="auto"/>
          <w:sz w:val="32"/>
          <w:szCs w:val="32"/>
          <w:highlight w:val="none"/>
          <w:lang w:val="en-US" w:eastAsia="zh-CN"/>
        </w:rPr>
        <w:t>0.199</w:t>
      </w:r>
      <w:r>
        <w:rPr>
          <w:rFonts w:hint="eastAsia" w:ascii="方正仿宋_GBK" w:hAnsi="方正仿宋_GBK" w:eastAsia="方正仿宋_GBK" w:cs="方正仿宋_GBK"/>
          <w:color w:val="auto"/>
          <w:sz w:val="32"/>
          <w:szCs w:val="32"/>
          <w:highlight w:val="none"/>
          <w:lang w:val="en-US" w:eastAsia="zh-CN"/>
        </w:rPr>
        <w:t>元/千瓦时（含税）</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第十三条 </w:t>
      </w:r>
      <w:r>
        <w:rPr>
          <w:rFonts w:hint="eastAsia" w:ascii="方正仿宋_GBK" w:hAnsi="方正仿宋_GBK" w:eastAsia="方正仿宋_GBK" w:cs="方正仿宋_GBK"/>
          <w:b w:val="0"/>
          <w:bCs w:val="0"/>
          <w:color w:val="auto"/>
          <w:kern w:val="2"/>
          <w:sz w:val="32"/>
          <w:szCs w:val="32"/>
          <w:highlight w:val="none"/>
          <w:lang w:val="en-US" w:eastAsia="zh-CN" w:bidi="ar"/>
        </w:rPr>
        <w:t>竞价通知发布前已全容量并网的</w:t>
      </w:r>
      <w:r>
        <w:rPr>
          <w:rFonts w:hint="eastAsia" w:ascii="方正仿宋_GBK" w:hAnsi="方正仿宋_GBK" w:eastAsia="方正仿宋_GBK" w:cs="方正仿宋_GBK"/>
          <w:b w:val="0"/>
          <w:bCs w:val="0"/>
          <w:color w:val="auto"/>
          <w:kern w:val="2"/>
          <w:sz w:val="32"/>
          <w:szCs w:val="32"/>
          <w:highlight w:val="none"/>
          <w:lang w:val="en-US" w:eastAsia="zh-CN"/>
        </w:rPr>
        <w:t>自然人户用分布式光伏项目参与竞价时，可自主选择按直接接受竞价结果方式确定机制电量和机制电价。选择该模式的项目业主应与电网企业签订协议，仅需申报装机容量，无需单独申报电量、电价，由竞价组织机构在竞价过程中予以考虑。</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第十四条 </w:t>
      </w:r>
      <w:r>
        <w:rPr>
          <w:rFonts w:hint="eastAsia" w:ascii="方正仿宋_GBK" w:hAnsi="方正仿宋_GBK" w:eastAsia="方正仿宋_GBK" w:cs="方正仿宋_GBK"/>
          <w:b w:val="0"/>
          <w:bCs w:val="0"/>
          <w:color w:val="auto"/>
          <w:kern w:val="2"/>
          <w:sz w:val="32"/>
          <w:szCs w:val="32"/>
          <w:highlight w:val="none"/>
          <w:lang w:val="en-US" w:eastAsia="zh-CN"/>
        </w:rPr>
        <w:t>机制电价</w:t>
      </w:r>
      <w:r>
        <w:rPr>
          <w:rFonts w:hint="eastAsia" w:ascii="方正仿宋_GBK" w:hAnsi="方正仿宋_GBK" w:eastAsia="方正仿宋_GBK" w:cs="方正仿宋_GBK"/>
          <w:color w:val="auto"/>
          <w:kern w:val="2"/>
          <w:sz w:val="32"/>
          <w:szCs w:val="32"/>
          <w:highlight w:val="none"/>
          <w:lang w:val="en-US" w:eastAsia="zh-CN"/>
        </w:rPr>
        <w:t>申报价格单位为“元/千千瓦时”，保留小数点后面3位，含增值税。</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rPr>
          <w:rFonts w:hint="eastAsia" w:ascii="CESI仿宋-GB2312" w:hAnsi="CESI仿宋-GB2312" w:eastAsia="CESI仿宋-GB2312" w:cs="CESI仿宋-GB2312"/>
          <w:b/>
          <w:bCs/>
          <w:color w:val="auto"/>
          <w:sz w:val="32"/>
          <w:szCs w:val="32"/>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val="en-US" w:eastAsia="zh-CN"/>
        </w:rPr>
        <w:t>第四章 执行期限</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b/>
          <w:bCs/>
          <w:color w:val="auto"/>
          <w:kern w:val="0"/>
          <w:sz w:val="32"/>
          <w:szCs w:val="32"/>
          <w:highlight w:val="none"/>
          <w:lang w:bidi="ar"/>
        </w:rPr>
        <w:t>第十</w:t>
      </w:r>
      <w:r>
        <w:rPr>
          <w:rFonts w:hint="eastAsia" w:ascii="方正仿宋_GBK" w:hAnsi="方正仿宋_GBK" w:eastAsia="方正仿宋_GBK" w:cs="方正仿宋_GBK"/>
          <w:b/>
          <w:bCs/>
          <w:color w:val="auto"/>
          <w:kern w:val="0"/>
          <w:sz w:val="32"/>
          <w:szCs w:val="32"/>
          <w:highlight w:val="none"/>
          <w:lang w:val="en-US" w:eastAsia="zh-CN" w:bidi="ar"/>
        </w:rPr>
        <w:t>五</w:t>
      </w:r>
      <w:r>
        <w:rPr>
          <w:rFonts w:hint="eastAsia" w:ascii="方正仿宋_GBK" w:hAnsi="方正仿宋_GBK" w:eastAsia="方正仿宋_GBK" w:cs="方正仿宋_GBK"/>
          <w:b/>
          <w:bCs/>
          <w:color w:val="auto"/>
          <w:kern w:val="0"/>
          <w:sz w:val="32"/>
          <w:szCs w:val="32"/>
          <w:highlight w:val="none"/>
          <w:lang w:bidi="ar"/>
        </w:rPr>
        <w:t xml:space="preserve">条 </w:t>
      </w:r>
      <w:r>
        <w:rPr>
          <w:rFonts w:hint="eastAsia" w:ascii="方正仿宋_GBK" w:hAnsi="方正仿宋_GBK" w:eastAsia="方正仿宋_GBK" w:cs="方正仿宋_GBK"/>
          <w:color w:val="auto"/>
          <w:kern w:val="2"/>
          <w:sz w:val="32"/>
          <w:szCs w:val="32"/>
          <w:highlight w:val="none"/>
        </w:rPr>
        <w:t>执行期限按照风电、光伏项目回收初始投资（不考虑相关收益）的平均期限确定。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第十六条 </w:t>
      </w:r>
      <w:r>
        <w:rPr>
          <w:rFonts w:hint="eastAsia" w:ascii="方正仿宋_GBK" w:hAnsi="方正仿宋_GBK" w:eastAsia="方正仿宋_GBK" w:cs="方正仿宋_GBK"/>
          <w:color w:val="auto"/>
          <w:sz w:val="32"/>
          <w:szCs w:val="32"/>
          <w:highlight w:val="none"/>
        </w:rPr>
        <w:t>执行机制电价的起始时间</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入选当年投产的项目，按入选时间开始执行；入选当年未投产的项目，自竞价申报投产时间的次月1日起开始执行。</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2025年首次竞价入选的项目</w:t>
      </w:r>
      <w:r>
        <w:rPr>
          <w:rFonts w:hint="eastAsia" w:ascii="方正仿宋_GBK" w:hAnsi="方正仿宋_GBK" w:eastAsia="方正仿宋_GBK" w:cs="方正仿宋_GBK"/>
          <w:strike w:val="0"/>
          <w:dstrike w:val="0"/>
          <w:color w:val="auto"/>
          <w:sz w:val="32"/>
          <w:szCs w:val="32"/>
          <w:highlight w:val="none"/>
        </w:rPr>
        <w:t>，</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2026年1</w:t>
      </w:r>
      <w:r>
        <w:rPr>
          <w:rFonts w:hint="eastAsia" w:ascii="方正仿宋_GBK" w:hAnsi="方正仿宋_GBK" w:eastAsia="方正仿宋_GBK" w:cs="方正仿宋_GBK"/>
          <w:color w:val="auto"/>
          <w:sz w:val="32"/>
          <w:szCs w:val="32"/>
          <w:highlight w:val="none"/>
        </w:rPr>
        <w:t>月1日起开始执行</w:t>
      </w:r>
      <w:r>
        <w:rPr>
          <w:rFonts w:hint="eastAsia" w:ascii="方正仿宋_GBK" w:hAnsi="方正仿宋_GBK" w:eastAsia="方正仿宋_GBK" w:cs="方正仿宋_GBK"/>
          <w:color w:val="auto"/>
          <w:sz w:val="32"/>
          <w:szCs w:val="32"/>
          <w:highlight w:val="none"/>
          <w:lang w:eastAsia="zh-CN"/>
        </w:rPr>
        <w:t>，其中自然人户用分布式光伏项目自投产之日起执行。</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sz w:val="32"/>
          <w:szCs w:val="32"/>
          <w:highlight w:val="none"/>
        </w:rPr>
        <w:t>未按</w:t>
      </w:r>
      <w:r>
        <w:rPr>
          <w:rFonts w:hint="eastAsia" w:ascii="方正仿宋_GBK" w:hAnsi="方正仿宋_GBK" w:eastAsia="方正仿宋_GBK" w:cs="方正仿宋_GBK"/>
          <w:color w:val="auto"/>
          <w:sz w:val="32"/>
          <w:szCs w:val="32"/>
          <w:highlight w:val="none"/>
          <w:lang w:val="en-US" w:eastAsia="zh-CN"/>
        </w:rPr>
        <w:t>申报日</w:t>
      </w:r>
      <w:r>
        <w:rPr>
          <w:rFonts w:hint="eastAsia" w:ascii="方正仿宋_GBK" w:hAnsi="方正仿宋_GBK" w:eastAsia="方正仿宋_GBK" w:cs="方正仿宋_GBK"/>
          <w:color w:val="auto"/>
          <w:sz w:val="32"/>
          <w:szCs w:val="32"/>
          <w:highlight w:val="none"/>
        </w:rPr>
        <w:t>期投产的项目，实际投产日期前覆盖的机制电量自动失效。</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 xml:space="preserve">第十七条 </w:t>
      </w:r>
      <w:r>
        <w:rPr>
          <w:rFonts w:hint="eastAsia" w:ascii="方正仿宋_GBK" w:hAnsi="方正仿宋_GBK" w:eastAsia="方正仿宋_GBK" w:cs="方正仿宋_GBK"/>
          <w:color w:val="auto"/>
          <w:kern w:val="2"/>
          <w:sz w:val="32"/>
          <w:szCs w:val="32"/>
          <w:highlight w:val="none"/>
          <w:lang w:val="en-US" w:eastAsia="zh-CN" w:bidi="ar"/>
        </w:rPr>
        <w:t>聚合商代理项目的投产时间按所有项目中最晚投产时间确定。</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rPr>
          <w:rFonts w:hint="eastAsia" w:ascii="CESI仿宋-GB2312" w:hAnsi="CESI仿宋-GB2312" w:eastAsia="CESI仿宋-GB2312" w:cs="CESI仿宋-GB2312"/>
          <w:color w:val="auto"/>
          <w:kern w:val="0"/>
          <w:sz w:val="32"/>
          <w:szCs w:val="32"/>
          <w:highlight w:val="none"/>
          <w:lang w:val="en-US" w:eastAsia="zh-CN" w:bidi="ar"/>
        </w:rPr>
      </w:pPr>
    </w:p>
    <w:p>
      <w:pPr>
        <w:pStyle w:val="4"/>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第五章 竞价主体</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b/>
          <w:bCs/>
          <w:color w:val="auto"/>
          <w:kern w:val="0"/>
          <w:sz w:val="32"/>
          <w:szCs w:val="32"/>
          <w:highlight w:val="none"/>
          <w:lang w:bidi="ar"/>
        </w:rPr>
        <w:t>第十</w:t>
      </w:r>
      <w:r>
        <w:rPr>
          <w:rFonts w:hint="eastAsia" w:ascii="方正仿宋_GBK" w:hAnsi="方正仿宋_GBK" w:eastAsia="方正仿宋_GBK" w:cs="方正仿宋_GBK"/>
          <w:b/>
          <w:bCs/>
          <w:color w:val="auto"/>
          <w:kern w:val="0"/>
          <w:sz w:val="32"/>
          <w:szCs w:val="32"/>
          <w:highlight w:val="none"/>
          <w:lang w:val="en-US" w:eastAsia="zh-CN" w:bidi="ar"/>
        </w:rPr>
        <w:t>八</w:t>
      </w:r>
      <w:r>
        <w:rPr>
          <w:rFonts w:hint="eastAsia" w:ascii="方正仿宋_GBK" w:hAnsi="方正仿宋_GBK" w:eastAsia="方正仿宋_GBK" w:cs="方正仿宋_GBK"/>
          <w:b/>
          <w:bCs/>
          <w:color w:val="auto"/>
          <w:kern w:val="0"/>
          <w:sz w:val="32"/>
          <w:szCs w:val="32"/>
          <w:highlight w:val="none"/>
          <w:lang w:bidi="ar"/>
        </w:rPr>
        <w:t xml:space="preserve">条 </w:t>
      </w:r>
      <w:r>
        <w:rPr>
          <w:rFonts w:hint="eastAsia" w:ascii="方正仿宋_GBK" w:hAnsi="方正仿宋_GBK" w:eastAsia="方正仿宋_GBK" w:cs="方正仿宋_GBK"/>
          <w:color w:val="auto"/>
          <w:kern w:val="2"/>
          <w:sz w:val="32"/>
          <w:szCs w:val="32"/>
          <w:highlight w:val="none"/>
          <w:lang w:eastAsia="zh-CN"/>
        </w:rPr>
        <w:t>竞价主体为已投产（全容量并网，下同）和未来12个月内计划投产（首次竞价为2025年6月1日-12月31日内投产），且未纳入过机制电价执行范围的</w:t>
      </w:r>
      <w:r>
        <w:rPr>
          <w:rFonts w:hint="eastAsia" w:ascii="方正仿宋_GBK" w:hAnsi="方正仿宋_GBK" w:eastAsia="方正仿宋_GBK" w:cs="方正仿宋_GBK"/>
          <w:color w:val="auto"/>
          <w:kern w:val="2"/>
          <w:sz w:val="32"/>
          <w:szCs w:val="32"/>
          <w:highlight w:val="none"/>
          <w:lang w:val="en-US" w:eastAsia="zh-CN"/>
        </w:rPr>
        <w:t>增量</w:t>
      </w:r>
      <w:r>
        <w:rPr>
          <w:rFonts w:hint="eastAsia" w:ascii="方正仿宋_GBK" w:hAnsi="方正仿宋_GBK" w:eastAsia="方正仿宋_GBK" w:cs="方正仿宋_GBK"/>
          <w:color w:val="auto"/>
          <w:kern w:val="2"/>
          <w:sz w:val="32"/>
          <w:szCs w:val="32"/>
          <w:highlight w:val="none"/>
          <w:lang w:eastAsia="zh-CN"/>
        </w:rPr>
        <w:t>项目。</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color w:val="auto"/>
          <w:kern w:val="2"/>
          <w:sz w:val="32"/>
          <w:szCs w:val="32"/>
          <w:highlight w:val="none"/>
          <w:lang w:eastAsia="zh-CN"/>
        </w:rPr>
        <w:t>分布式光伏、</w:t>
      </w:r>
      <w:r>
        <w:rPr>
          <w:rFonts w:hint="eastAsia" w:ascii="方正仿宋_GBK" w:hAnsi="方正仿宋_GBK" w:eastAsia="方正仿宋_GBK" w:cs="方正仿宋_GBK"/>
          <w:color w:val="auto"/>
          <w:kern w:val="2"/>
          <w:sz w:val="32"/>
          <w:szCs w:val="32"/>
          <w:highlight w:val="none"/>
          <w:lang w:val="en-US" w:eastAsia="zh-CN"/>
        </w:rPr>
        <w:t>分散式风电</w:t>
      </w:r>
      <w:r>
        <w:rPr>
          <w:rFonts w:hint="eastAsia" w:ascii="方正仿宋_GBK" w:hAnsi="方正仿宋_GBK" w:eastAsia="方正仿宋_GBK" w:cs="方正仿宋_GBK"/>
          <w:color w:val="auto"/>
          <w:kern w:val="2"/>
          <w:sz w:val="32"/>
          <w:szCs w:val="32"/>
          <w:highlight w:val="none"/>
          <w:lang w:eastAsia="zh-CN"/>
        </w:rPr>
        <w:t>项目可委托</w:t>
      </w:r>
      <w:r>
        <w:rPr>
          <w:rFonts w:hint="eastAsia" w:ascii="方正仿宋_GBK" w:hAnsi="方正仿宋_GBK" w:eastAsia="方正仿宋_GBK" w:cs="方正仿宋_GBK"/>
          <w:color w:val="auto"/>
          <w:kern w:val="2"/>
          <w:sz w:val="32"/>
          <w:szCs w:val="32"/>
          <w:highlight w:val="none"/>
          <w:lang w:val="en-US" w:eastAsia="zh-CN"/>
        </w:rPr>
        <w:t>聚合商</w:t>
      </w:r>
      <w:r>
        <w:rPr>
          <w:rFonts w:hint="eastAsia" w:ascii="方正仿宋_GBK" w:hAnsi="方正仿宋_GBK" w:eastAsia="方正仿宋_GBK" w:cs="方正仿宋_GBK"/>
          <w:color w:val="auto"/>
          <w:kern w:val="2"/>
          <w:sz w:val="32"/>
          <w:szCs w:val="32"/>
          <w:highlight w:val="none"/>
          <w:lang w:eastAsia="zh-CN"/>
        </w:rPr>
        <w:t>代理参与竞价。</w:t>
      </w:r>
      <w:r>
        <w:rPr>
          <w:rFonts w:hint="eastAsia" w:ascii="方正仿宋_GBK" w:hAnsi="方正仿宋_GBK" w:eastAsia="方正仿宋_GBK" w:cs="方正仿宋_GBK"/>
          <w:strike w:val="0"/>
          <w:color w:val="auto"/>
          <w:kern w:val="2"/>
          <w:sz w:val="32"/>
          <w:szCs w:val="32"/>
          <w:highlight w:val="none"/>
          <w:lang w:eastAsia="zh-CN" w:bidi="ar"/>
        </w:rPr>
        <w:t>每年度，单个</w:t>
      </w:r>
      <w:r>
        <w:rPr>
          <w:rFonts w:hint="eastAsia" w:ascii="方正仿宋_GBK" w:hAnsi="方正仿宋_GBK" w:eastAsia="方正仿宋_GBK" w:cs="方正仿宋_GBK"/>
          <w:color w:val="auto"/>
          <w:kern w:val="2"/>
          <w:sz w:val="32"/>
          <w:szCs w:val="32"/>
          <w:highlight w:val="none"/>
          <w:lang w:eastAsia="zh-CN"/>
        </w:rPr>
        <w:t>分布式光伏、</w:t>
      </w:r>
      <w:r>
        <w:rPr>
          <w:rFonts w:hint="eastAsia" w:ascii="方正仿宋_GBK" w:hAnsi="方正仿宋_GBK" w:eastAsia="方正仿宋_GBK" w:cs="方正仿宋_GBK"/>
          <w:color w:val="auto"/>
          <w:kern w:val="2"/>
          <w:sz w:val="32"/>
          <w:szCs w:val="32"/>
          <w:highlight w:val="none"/>
          <w:lang w:val="en-US" w:eastAsia="zh-CN"/>
        </w:rPr>
        <w:t>分散式风电</w:t>
      </w:r>
      <w:r>
        <w:rPr>
          <w:rFonts w:hint="eastAsia" w:ascii="方正仿宋_GBK" w:hAnsi="方正仿宋_GBK" w:eastAsia="方正仿宋_GBK" w:cs="方正仿宋_GBK"/>
          <w:color w:val="auto"/>
          <w:kern w:val="2"/>
          <w:sz w:val="32"/>
          <w:szCs w:val="32"/>
          <w:highlight w:val="none"/>
          <w:lang w:eastAsia="zh-CN"/>
        </w:rPr>
        <w:t>项目</w:t>
      </w:r>
      <w:r>
        <w:rPr>
          <w:rFonts w:hint="eastAsia" w:ascii="方正仿宋_GBK" w:hAnsi="方正仿宋_GBK" w:eastAsia="方正仿宋_GBK" w:cs="方正仿宋_GBK"/>
          <w:color w:val="auto"/>
          <w:kern w:val="2"/>
          <w:sz w:val="32"/>
          <w:szCs w:val="32"/>
          <w:highlight w:val="none"/>
          <w:lang w:bidi="ar"/>
        </w:rPr>
        <w:t>主体仅可选择一家聚合商作为其竞价代理机构。</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第十九条 </w:t>
      </w:r>
      <w:r>
        <w:rPr>
          <w:rFonts w:hint="eastAsia" w:ascii="方正仿宋_GBK" w:hAnsi="方正仿宋_GBK" w:eastAsia="方正仿宋_GBK" w:cs="方正仿宋_GBK"/>
          <w:color w:val="auto"/>
          <w:kern w:val="2"/>
          <w:sz w:val="32"/>
          <w:szCs w:val="32"/>
          <w:highlight w:val="none"/>
          <w:lang w:eastAsia="zh-CN"/>
        </w:rPr>
        <w:t>竞价主体应具有独立法人</w:t>
      </w:r>
      <w:r>
        <w:rPr>
          <w:rFonts w:hint="eastAsia" w:ascii="方正仿宋_GBK" w:hAnsi="方正仿宋_GBK" w:eastAsia="方正仿宋_GBK" w:cs="方正仿宋_GBK"/>
          <w:color w:val="auto"/>
          <w:kern w:val="2"/>
          <w:sz w:val="32"/>
          <w:szCs w:val="32"/>
          <w:highlight w:val="none"/>
          <w:lang w:val="en-US" w:eastAsia="zh-CN"/>
        </w:rPr>
        <w:t>资格</w:t>
      </w:r>
      <w:r>
        <w:rPr>
          <w:rFonts w:hint="eastAsia" w:ascii="方正仿宋_GBK" w:hAnsi="方正仿宋_GBK" w:eastAsia="方正仿宋_GBK" w:cs="方正仿宋_GBK"/>
          <w:color w:val="auto"/>
          <w:kern w:val="2"/>
          <w:sz w:val="32"/>
          <w:szCs w:val="32"/>
          <w:highlight w:val="none"/>
          <w:lang w:eastAsia="zh-CN"/>
        </w:rPr>
        <w:t>，户用分布式光伏项目</w:t>
      </w:r>
      <w:r>
        <w:rPr>
          <w:rFonts w:hint="eastAsia" w:ascii="方正仿宋_GBK" w:hAnsi="方正仿宋_GBK" w:eastAsia="方正仿宋_GBK" w:cs="方正仿宋_GBK"/>
          <w:color w:val="auto"/>
          <w:kern w:val="2"/>
          <w:sz w:val="32"/>
          <w:szCs w:val="32"/>
          <w:highlight w:val="none"/>
          <w:lang w:val="en-US" w:eastAsia="zh-CN"/>
        </w:rPr>
        <w:t>应为能够独立承担民事责任的</w:t>
      </w:r>
      <w:r>
        <w:rPr>
          <w:rFonts w:hint="eastAsia" w:ascii="方正仿宋_GBK" w:hAnsi="方正仿宋_GBK" w:eastAsia="方正仿宋_GBK" w:cs="方正仿宋_GBK"/>
          <w:color w:val="auto"/>
          <w:kern w:val="2"/>
          <w:sz w:val="32"/>
          <w:szCs w:val="32"/>
          <w:highlight w:val="none"/>
          <w:lang w:eastAsia="zh-CN"/>
        </w:rPr>
        <w:t>自然人。</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eastAsia="zh-CN" w:bidi="ar"/>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val="en-US" w:eastAsia="zh-CN" w:bidi="ar"/>
        </w:rPr>
        <w:t>二十</w:t>
      </w:r>
      <w:r>
        <w:rPr>
          <w:rFonts w:hint="eastAsia" w:ascii="方正仿宋_GBK" w:hAnsi="方正仿宋_GBK" w:eastAsia="方正仿宋_GBK" w:cs="方正仿宋_GBK"/>
          <w:b/>
          <w:bCs/>
          <w:color w:val="auto"/>
          <w:kern w:val="0"/>
          <w:sz w:val="32"/>
          <w:szCs w:val="32"/>
          <w:highlight w:val="none"/>
          <w:lang w:bidi="ar"/>
        </w:rPr>
        <w:t xml:space="preserve">条 </w:t>
      </w:r>
      <w:r>
        <w:rPr>
          <w:rFonts w:hint="eastAsia" w:ascii="方正仿宋_GBK" w:hAnsi="方正仿宋_GBK" w:eastAsia="方正仿宋_GBK" w:cs="方正仿宋_GBK"/>
          <w:b w:val="0"/>
          <w:bCs w:val="0"/>
          <w:color w:val="auto"/>
          <w:kern w:val="2"/>
          <w:sz w:val="32"/>
          <w:szCs w:val="32"/>
          <w:highlight w:val="none"/>
          <w:lang w:val="en-US" w:eastAsia="zh-CN" w:bidi="ar"/>
        </w:rPr>
        <w:t>存在以下情况的增量项目不得参与</w:t>
      </w:r>
      <w:r>
        <w:rPr>
          <w:rFonts w:hint="eastAsia" w:ascii="方正仿宋_GBK" w:hAnsi="方正仿宋_GBK" w:eastAsia="方正仿宋_GBK" w:cs="方正仿宋_GBK"/>
          <w:b w:val="0"/>
          <w:bCs w:val="0"/>
          <w:color w:val="auto"/>
          <w:kern w:val="2"/>
          <w:sz w:val="32"/>
          <w:szCs w:val="32"/>
          <w:highlight w:val="none"/>
          <w:lang w:bidi="ar"/>
        </w:rPr>
        <w:t>竞价</w:t>
      </w:r>
      <w:r>
        <w:rPr>
          <w:rFonts w:hint="eastAsia" w:ascii="方正仿宋_GBK" w:hAnsi="方正仿宋_GBK" w:eastAsia="方正仿宋_GBK" w:cs="方正仿宋_GBK"/>
          <w:color w:val="auto"/>
          <w:kern w:val="2"/>
          <w:sz w:val="32"/>
          <w:szCs w:val="32"/>
          <w:highlight w:val="none"/>
          <w:lang w:bidi="ar"/>
        </w:rPr>
        <w:t>：</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CESI仿宋-GB2312" w:hAnsi="CESI仿宋-GB2312" w:eastAsia="CESI仿宋-GB2312" w:cs="CESI仿宋-GB2312"/>
          <w:color w:val="auto"/>
          <w:kern w:val="2"/>
          <w:sz w:val="32"/>
          <w:szCs w:val="32"/>
          <w:highlight w:val="none"/>
          <w:lang w:bidi="ar"/>
        </w:rPr>
      </w:pPr>
      <w:r>
        <w:rPr>
          <w:rFonts w:hint="eastAsia" w:ascii="方正仿宋_GBK" w:hAnsi="方正仿宋_GBK" w:eastAsia="方正仿宋_GBK" w:cs="方正仿宋_GBK"/>
          <w:color w:val="auto"/>
          <w:kern w:val="2"/>
          <w:sz w:val="32"/>
          <w:szCs w:val="32"/>
          <w:highlight w:val="none"/>
          <w:lang w:bidi="ar"/>
        </w:rPr>
        <w:t>（一）处于被行政主管部门责令停产、停业或进入破产程序；</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color w:val="auto"/>
          <w:kern w:val="2"/>
          <w:sz w:val="32"/>
          <w:szCs w:val="32"/>
          <w:highlight w:val="none"/>
          <w:lang w:bidi="ar"/>
        </w:rPr>
        <w:t>（二）处于行政主管部门相关文件确认的禁止竞价的范围和处罚期间内；</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color w:val="auto"/>
          <w:kern w:val="2"/>
          <w:sz w:val="32"/>
          <w:szCs w:val="32"/>
          <w:highlight w:val="none"/>
          <w:lang w:bidi="ar"/>
        </w:rPr>
        <w:t>（三）近三年存在骗取</w:t>
      </w:r>
      <w:r>
        <w:rPr>
          <w:rFonts w:hint="eastAsia" w:ascii="方正仿宋_GBK" w:hAnsi="方正仿宋_GBK" w:eastAsia="方正仿宋_GBK" w:cs="方正仿宋_GBK"/>
          <w:color w:val="auto"/>
          <w:kern w:val="2"/>
          <w:sz w:val="32"/>
          <w:szCs w:val="32"/>
          <w:highlight w:val="none"/>
          <w:lang w:val="en-US" w:eastAsia="zh-CN" w:bidi="ar"/>
        </w:rPr>
        <w:t>入选</w:t>
      </w:r>
      <w:r>
        <w:rPr>
          <w:rFonts w:hint="eastAsia" w:ascii="方正仿宋_GBK" w:hAnsi="方正仿宋_GBK" w:eastAsia="方正仿宋_GBK" w:cs="方正仿宋_GBK"/>
          <w:color w:val="auto"/>
          <w:kern w:val="2"/>
          <w:sz w:val="32"/>
          <w:szCs w:val="32"/>
          <w:highlight w:val="none"/>
          <w:lang w:bidi="ar"/>
        </w:rPr>
        <w:t>或严重违约，经有关部门认定的因其服务引起的重大及以上质量事故或重大及以上安全事故；</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eastAsia="zh-CN" w:bidi="ar"/>
        </w:rPr>
      </w:pP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四）</w:t>
      </w:r>
      <w:r>
        <w:rPr>
          <w:rFonts w:hint="eastAsia" w:ascii="方正仿宋_GBK" w:hAnsi="方正仿宋_GBK" w:eastAsia="方正仿宋_GBK" w:cs="方正仿宋_GBK"/>
          <w:color w:val="auto"/>
          <w:kern w:val="2"/>
          <w:sz w:val="32"/>
          <w:szCs w:val="32"/>
          <w:highlight w:val="none"/>
          <w:lang w:eastAsia="zh-CN" w:bidi="ar"/>
        </w:rPr>
        <w:t>被市场监督管理部门在全国企业信用信息公示系统中列入经营异常名录或者严重违法企业名单。</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color w:val="auto"/>
          <w:kern w:val="2"/>
          <w:sz w:val="32"/>
          <w:szCs w:val="32"/>
          <w:highlight w:val="none"/>
          <w:lang w:bidi="ar"/>
        </w:rPr>
        <w:t>（</w:t>
      </w:r>
      <w:r>
        <w:rPr>
          <w:rFonts w:hint="eastAsia" w:ascii="方正仿宋_GBK" w:hAnsi="方正仿宋_GBK" w:eastAsia="方正仿宋_GBK" w:cs="方正仿宋_GBK"/>
          <w:color w:val="auto"/>
          <w:kern w:val="2"/>
          <w:sz w:val="32"/>
          <w:szCs w:val="32"/>
          <w:highlight w:val="none"/>
          <w:lang w:val="en-US" w:eastAsia="zh-CN" w:bidi="ar"/>
        </w:rPr>
        <w:t>五</w:t>
      </w:r>
      <w:r>
        <w:rPr>
          <w:rFonts w:hint="eastAsia" w:ascii="方正仿宋_GBK" w:hAnsi="方正仿宋_GBK" w:eastAsia="方正仿宋_GBK" w:cs="方正仿宋_GBK"/>
          <w:color w:val="auto"/>
          <w:kern w:val="2"/>
          <w:sz w:val="32"/>
          <w:szCs w:val="32"/>
          <w:highlight w:val="none"/>
          <w:lang w:bidi="ar"/>
        </w:rPr>
        <w:t>）被最高人民法院在“信用中国”网站或各级信用信息共享平台中列入失信被执行人名单。</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第二十一条 </w:t>
      </w:r>
      <w:r>
        <w:rPr>
          <w:rFonts w:hint="eastAsia" w:ascii="方正仿宋_GBK" w:hAnsi="方正仿宋_GBK" w:eastAsia="方正仿宋_GBK" w:cs="方正仿宋_GBK"/>
          <w:color w:val="auto"/>
          <w:kern w:val="2"/>
          <w:sz w:val="32"/>
          <w:szCs w:val="32"/>
          <w:highlight w:val="none"/>
          <w:lang w:val="en-US" w:eastAsia="zh-CN"/>
        </w:rPr>
        <w:t>聚合商</w:t>
      </w:r>
      <w:r>
        <w:rPr>
          <w:rFonts w:hint="eastAsia" w:ascii="方正仿宋_GBK" w:hAnsi="方正仿宋_GBK" w:eastAsia="方正仿宋_GBK" w:cs="方正仿宋_GBK"/>
          <w:color w:val="auto"/>
          <w:kern w:val="2"/>
          <w:sz w:val="32"/>
          <w:szCs w:val="32"/>
          <w:highlight w:val="none"/>
          <w:lang w:eastAsia="zh-CN"/>
        </w:rPr>
        <w:t>应与代理项目签订代理协议，</w:t>
      </w:r>
      <w:r>
        <w:rPr>
          <w:rFonts w:hint="eastAsia" w:ascii="方正仿宋_GBK" w:hAnsi="方正仿宋_GBK" w:eastAsia="方正仿宋_GBK" w:cs="方正仿宋_GBK"/>
          <w:color w:val="auto"/>
          <w:kern w:val="2"/>
          <w:sz w:val="32"/>
          <w:szCs w:val="32"/>
          <w:highlight w:val="none"/>
          <w:lang w:val="en-US" w:eastAsia="zh-CN"/>
        </w:rPr>
        <w:t>明确双方权责、义务及服务内容。</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第二十二条 竞价主体资质。</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eastAsia="zh-CN" w:bidi="ar"/>
        </w:rPr>
      </w:pP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一</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已投产项目</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eastAsia="zh-CN" w:bidi="ar"/>
        </w:rPr>
      </w:pPr>
      <w:r>
        <w:rPr>
          <w:rFonts w:hint="eastAsia" w:ascii="方正仿宋_GBK" w:hAnsi="方正仿宋_GBK" w:eastAsia="方正仿宋_GBK" w:cs="方正仿宋_GBK"/>
          <w:color w:val="auto"/>
          <w:kern w:val="2"/>
          <w:sz w:val="32"/>
          <w:szCs w:val="32"/>
          <w:highlight w:val="none"/>
          <w:lang w:val="en-US" w:eastAsia="zh-CN" w:bidi="ar"/>
        </w:rPr>
        <w:t>集中式风电、光伏项目应具备：</w:t>
      </w:r>
      <w:r>
        <w:rPr>
          <w:rFonts w:hint="eastAsia" w:ascii="方正仿宋_GBK" w:hAnsi="方正仿宋_GBK" w:eastAsia="方正仿宋_GBK" w:cs="方正仿宋_GBK"/>
          <w:color w:val="auto"/>
          <w:kern w:val="2"/>
          <w:sz w:val="32"/>
          <w:szCs w:val="32"/>
          <w:highlight w:val="none"/>
          <w:lang w:bidi="ar"/>
        </w:rPr>
        <w:t>项目核准（备案）文件、发电业务许可证</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暂未取得的提供书面承诺</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w:t>
      </w:r>
      <w:r>
        <w:rPr>
          <w:rFonts w:hint="eastAsia" w:ascii="方正仿宋_GBK" w:hAnsi="方正仿宋_GBK" w:eastAsia="方正仿宋_GBK" w:cs="方正仿宋_GBK"/>
          <w:color w:val="auto"/>
          <w:kern w:val="2"/>
          <w:sz w:val="32"/>
          <w:szCs w:val="32"/>
          <w:highlight w:val="none"/>
          <w:lang w:val="en-US" w:eastAsia="zh-CN" w:bidi="ar"/>
        </w:rPr>
        <w:t>营业执照、</w:t>
      </w:r>
      <w:r>
        <w:rPr>
          <w:rFonts w:hint="eastAsia" w:ascii="方正仿宋_GBK" w:hAnsi="方正仿宋_GBK" w:eastAsia="方正仿宋_GBK" w:cs="方正仿宋_GBK"/>
          <w:color w:val="auto"/>
          <w:kern w:val="2"/>
          <w:sz w:val="32"/>
          <w:szCs w:val="32"/>
          <w:highlight w:val="none"/>
          <w:lang w:bidi="ar"/>
        </w:rPr>
        <w:t>并网调度协议</w:t>
      </w:r>
      <w:r>
        <w:rPr>
          <w:rFonts w:hint="eastAsia" w:ascii="方正仿宋_GBK" w:hAnsi="方正仿宋_GBK" w:eastAsia="方正仿宋_GBK" w:cs="方正仿宋_GBK"/>
          <w:color w:val="auto"/>
          <w:kern w:val="2"/>
          <w:sz w:val="32"/>
          <w:szCs w:val="32"/>
          <w:highlight w:val="none"/>
          <w:lang w:eastAsia="zh-CN" w:bidi="ar"/>
        </w:rPr>
        <w:t>。</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bidi="ar"/>
        </w:rPr>
      </w:pPr>
      <w:r>
        <w:rPr>
          <w:rFonts w:hint="eastAsia" w:ascii="方正仿宋_GBK" w:hAnsi="方正仿宋_GBK" w:eastAsia="方正仿宋_GBK" w:cs="方正仿宋_GBK"/>
          <w:color w:val="auto"/>
          <w:kern w:val="2"/>
          <w:sz w:val="32"/>
          <w:szCs w:val="32"/>
          <w:highlight w:val="none"/>
          <w:lang w:val="en-US" w:eastAsia="zh-CN" w:bidi="ar"/>
        </w:rPr>
        <w:t>分布式光伏、分散式风电项目应具备：项目</w:t>
      </w:r>
      <w:r>
        <w:rPr>
          <w:rFonts w:hint="eastAsia" w:ascii="方正仿宋_GBK" w:hAnsi="方正仿宋_GBK" w:eastAsia="方正仿宋_GBK" w:cs="方正仿宋_GBK"/>
          <w:color w:val="auto"/>
          <w:kern w:val="2"/>
          <w:sz w:val="32"/>
          <w:szCs w:val="32"/>
          <w:highlight w:val="none"/>
          <w:lang w:bidi="ar"/>
        </w:rPr>
        <w:t>核准（备案）</w:t>
      </w:r>
      <w:r>
        <w:rPr>
          <w:rFonts w:hint="eastAsia" w:ascii="方正仿宋_GBK" w:hAnsi="方正仿宋_GBK" w:eastAsia="方正仿宋_GBK" w:cs="方正仿宋_GBK"/>
          <w:color w:val="auto"/>
          <w:kern w:val="2"/>
          <w:sz w:val="32"/>
          <w:szCs w:val="32"/>
          <w:highlight w:val="none"/>
          <w:lang w:val="en-US" w:eastAsia="zh-CN" w:bidi="ar"/>
        </w:rPr>
        <w:t>文件、营业执照（非自然人项目）、居民身份证明（自然人项目）、购售电合同、</w:t>
      </w:r>
      <w:r>
        <w:rPr>
          <w:rFonts w:hint="eastAsia" w:ascii="方正仿宋_GBK" w:hAnsi="方正仿宋_GBK" w:eastAsia="方正仿宋_GBK" w:cs="方正仿宋_GBK"/>
          <w:color w:val="auto"/>
          <w:kern w:val="2"/>
          <w:sz w:val="32"/>
          <w:szCs w:val="32"/>
          <w:highlight w:val="none"/>
          <w:lang w:bidi="ar"/>
        </w:rPr>
        <w:t>并网调度协议</w:t>
      </w:r>
      <w:r>
        <w:rPr>
          <w:rFonts w:hint="eastAsia" w:ascii="方正仿宋_GBK" w:hAnsi="方正仿宋_GBK" w:eastAsia="方正仿宋_GBK" w:cs="方正仿宋_GBK"/>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eastAsia="zh-CN" w:bidi="ar"/>
        </w:rPr>
        <w:t>其中，</w:t>
      </w:r>
      <w:r>
        <w:rPr>
          <w:rFonts w:hint="eastAsia" w:ascii="方正仿宋_GBK" w:hAnsi="方正仿宋_GBK" w:eastAsia="方正仿宋_GBK" w:cs="方正仿宋_GBK"/>
          <w:color w:val="auto"/>
          <w:kern w:val="2"/>
          <w:sz w:val="32"/>
          <w:szCs w:val="32"/>
          <w:highlight w:val="none"/>
          <w:lang w:bidi="ar"/>
        </w:rPr>
        <w:t>聚合商需提供项目单位委托聚合商参与竞价的协议。</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二</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未投产项目</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color w:val="auto"/>
          <w:kern w:val="2"/>
          <w:sz w:val="32"/>
          <w:szCs w:val="32"/>
          <w:highlight w:val="none"/>
          <w:lang w:bidi="ar"/>
        </w:rPr>
        <w:t>集中式</w:t>
      </w:r>
      <w:r>
        <w:rPr>
          <w:rFonts w:hint="eastAsia" w:ascii="方正仿宋_GBK" w:hAnsi="方正仿宋_GBK" w:eastAsia="方正仿宋_GBK" w:cs="方正仿宋_GBK"/>
          <w:color w:val="auto"/>
          <w:kern w:val="2"/>
          <w:sz w:val="32"/>
          <w:szCs w:val="32"/>
          <w:highlight w:val="none"/>
          <w:lang w:val="en-US" w:eastAsia="zh-CN" w:bidi="ar"/>
        </w:rPr>
        <w:t>风电、光伏</w:t>
      </w:r>
      <w:r>
        <w:rPr>
          <w:rFonts w:hint="eastAsia" w:ascii="方正仿宋_GBK" w:hAnsi="方正仿宋_GBK" w:eastAsia="方正仿宋_GBK" w:cs="方正仿宋_GBK"/>
          <w:color w:val="auto"/>
          <w:kern w:val="2"/>
          <w:sz w:val="32"/>
          <w:szCs w:val="32"/>
          <w:highlight w:val="none"/>
          <w:lang w:bidi="ar"/>
        </w:rPr>
        <w:t>项目：项目核准（备案）文件、营业执照、项目业主资信证明、项目建设场址使用</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租赁</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协议或</w:t>
      </w:r>
      <w:r>
        <w:rPr>
          <w:rFonts w:hint="eastAsia" w:ascii="方正仿宋_GBK" w:hAnsi="方正仿宋_GBK" w:eastAsia="方正仿宋_GBK" w:cs="方正仿宋_GBK"/>
          <w:strike w:val="0"/>
          <w:color w:val="auto"/>
          <w:kern w:val="2"/>
          <w:sz w:val="32"/>
          <w:szCs w:val="32"/>
          <w:highlight w:val="none"/>
          <w:lang w:val="en-US" w:eastAsia="zh-CN" w:bidi="ar"/>
        </w:rPr>
        <w:t>相关用地规划手续（如用地预审及选址意见书等）</w:t>
      </w:r>
      <w:r>
        <w:rPr>
          <w:rFonts w:hint="eastAsia" w:ascii="方正仿宋_GBK" w:hAnsi="方正仿宋_GBK" w:eastAsia="方正仿宋_GBK" w:cs="方正仿宋_GBK"/>
          <w:color w:val="auto"/>
          <w:kern w:val="2"/>
          <w:sz w:val="32"/>
          <w:szCs w:val="32"/>
          <w:highlight w:val="none"/>
          <w:lang w:bidi="ar"/>
        </w:rPr>
        <w:t>。</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color w:val="auto"/>
          <w:kern w:val="2"/>
          <w:sz w:val="32"/>
          <w:szCs w:val="32"/>
          <w:highlight w:val="none"/>
          <w:lang w:val="en-US" w:eastAsia="zh-CN" w:bidi="ar"/>
        </w:rPr>
        <w:t>分布式光伏、分散式风电项目：</w:t>
      </w:r>
      <w:r>
        <w:rPr>
          <w:rFonts w:hint="eastAsia" w:ascii="方正仿宋_GBK" w:hAnsi="方正仿宋_GBK" w:eastAsia="方正仿宋_GBK" w:cs="方正仿宋_GBK"/>
          <w:color w:val="auto"/>
          <w:kern w:val="2"/>
          <w:sz w:val="32"/>
          <w:szCs w:val="32"/>
          <w:highlight w:val="none"/>
          <w:lang w:bidi="ar"/>
        </w:rPr>
        <w:t>工商业分布式光伏项目</w:t>
      </w:r>
      <w:r>
        <w:rPr>
          <w:rFonts w:hint="eastAsia" w:ascii="方正仿宋_GBK" w:hAnsi="方正仿宋_GBK" w:eastAsia="方正仿宋_GBK" w:cs="方正仿宋_GBK"/>
          <w:color w:val="auto"/>
          <w:kern w:val="2"/>
          <w:sz w:val="32"/>
          <w:szCs w:val="32"/>
          <w:highlight w:val="none"/>
          <w:lang w:val="en-US" w:eastAsia="zh-CN" w:bidi="ar"/>
        </w:rPr>
        <w:t>应提供</w:t>
      </w:r>
      <w:r>
        <w:rPr>
          <w:rFonts w:hint="eastAsia" w:ascii="方正仿宋_GBK" w:hAnsi="方正仿宋_GBK" w:eastAsia="方正仿宋_GBK" w:cs="方正仿宋_GBK"/>
          <w:color w:val="auto"/>
          <w:kern w:val="2"/>
          <w:sz w:val="32"/>
          <w:szCs w:val="32"/>
          <w:highlight w:val="none"/>
          <w:lang w:bidi="ar"/>
        </w:rPr>
        <w:t>项目备案文件、营业执照、项目</w:t>
      </w:r>
      <w:r>
        <w:rPr>
          <w:rFonts w:hint="eastAsia" w:ascii="方正仿宋_GBK" w:hAnsi="方正仿宋_GBK" w:eastAsia="方正仿宋_GBK" w:cs="方正仿宋_GBK"/>
          <w:color w:val="auto"/>
          <w:kern w:val="2"/>
          <w:sz w:val="32"/>
          <w:szCs w:val="32"/>
          <w:highlight w:val="none"/>
          <w:lang w:val="en-US" w:eastAsia="zh-CN" w:bidi="ar"/>
        </w:rPr>
        <w:t>建设厂址</w:t>
      </w:r>
      <w:r>
        <w:rPr>
          <w:rFonts w:hint="eastAsia" w:ascii="方正仿宋_GBK" w:hAnsi="方正仿宋_GBK" w:eastAsia="方正仿宋_GBK" w:cs="方正仿宋_GBK"/>
          <w:color w:val="auto"/>
          <w:kern w:val="2"/>
          <w:sz w:val="32"/>
          <w:szCs w:val="32"/>
          <w:highlight w:val="none"/>
          <w:lang w:bidi="ar"/>
        </w:rPr>
        <w:t>产权证</w:t>
      </w:r>
      <w:r>
        <w:rPr>
          <w:rFonts w:hint="eastAsia" w:ascii="方正仿宋_GBK" w:hAnsi="方正仿宋_GBK" w:eastAsia="方正仿宋_GBK" w:cs="方正仿宋_GBK"/>
          <w:color w:val="auto"/>
          <w:kern w:val="2"/>
          <w:sz w:val="32"/>
          <w:szCs w:val="32"/>
          <w:highlight w:val="none"/>
          <w:lang w:val="en-US" w:eastAsia="zh-CN" w:bidi="ar"/>
        </w:rPr>
        <w:t>明、</w:t>
      </w:r>
      <w:r>
        <w:rPr>
          <w:rFonts w:hint="eastAsia" w:ascii="方正仿宋_GBK" w:hAnsi="方正仿宋_GBK" w:eastAsia="方正仿宋_GBK" w:cs="方正仿宋_GBK"/>
          <w:color w:val="auto"/>
          <w:kern w:val="2"/>
          <w:sz w:val="32"/>
          <w:szCs w:val="32"/>
          <w:highlight w:val="none"/>
          <w:lang w:bidi="ar"/>
        </w:rPr>
        <w:t>租赁合同。户用分布式光伏</w:t>
      </w:r>
      <w:r>
        <w:rPr>
          <w:rFonts w:hint="eastAsia" w:ascii="方正仿宋_GBK" w:hAnsi="方正仿宋_GBK" w:eastAsia="方正仿宋_GBK" w:cs="方正仿宋_GBK"/>
          <w:color w:val="auto"/>
          <w:kern w:val="2"/>
          <w:sz w:val="32"/>
          <w:szCs w:val="32"/>
          <w:highlight w:val="none"/>
          <w:lang w:val="en-US" w:eastAsia="zh-CN" w:bidi="ar"/>
        </w:rPr>
        <w:t>应提供</w:t>
      </w:r>
      <w:r>
        <w:rPr>
          <w:rFonts w:hint="eastAsia" w:ascii="方正仿宋_GBK" w:hAnsi="方正仿宋_GBK" w:eastAsia="方正仿宋_GBK" w:cs="方正仿宋_GBK"/>
          <w:color w:val="auto"/>
          <w:kern w:val="2"/>
          <w:sz w:val="32"/>
          <w:szCs w:val="32"/>
          <w:highlight w:val="none"/>
          <w:lang w:bidi="ar"/>
        </w:rPr>
        <w:t>项目备案文件、</w:t>
      </w:r>
      <w:r>
        <w:rPr>
          <w:rFonts w:hint="eastAsia" w:ascii="方正仿宋_GBK" w:hAnsi="方正仿宋_GBK" w:eastAsia="方正仿宋_GBK" w:cs="方正仿宋_GBK"/>
          <w:color w:val="auto"/>
          <w:kern w:val="2"/>
          <w:sz w:val="32"/>
          <w:szCs w:val="32"/>
          <w:highlight w:val="none"/>
          <w:lang w:val="en-US" w:eastAsia="zh-CN" w:bidi="ar"/>
        </w:rPr>
        <w:t>居民</w:t>
      </w:r>
      <w:r>
        <w:rPr>
          <w:rFonts w:hint="eastAsia" w:ascii="方正仿宋_GBK" w:hAnsi="方正仿宋_GBK" w:eastAsia="方正仿宋_GBK" w:cs="方正仿宋_GBK"/>
          <w:color w:val="auto"/>
          <w:kern w:val="2"/>
          <w:sz w:val="32"/>
          <w:szCs w:val="32"/>
          <w:highlight w:val="none"/>
          <w:lang w:bidi="ar"/>
        </w:rPr>
        <w:t>身份证明、自有住宅产权证明。</w:t>
      </w:r>
      <w:r>
        <w:rPr>
          <w:rFonts w:hint="eastAsia" w:ascii="方正仿宋_GBK" w:hAnsi="方正仿宋_GBK" w:eastAsia="方正仿宋_GBK" w:cs="方正仿宋_GBK"/>
          <w:color w:val="auto"/>
          <w:kern w:val="2"/>
          <w:sz w:val="32"/>
          <w:szCs w:val="32"/>
          <w:highlight w:val="none"/>
          <w:lang w:val="en-US" w:eastAsia="zh-CN" w:bidi="ar"/>
        </w:rPr>
        <w:t>分散式风电项目应提供项目核准文件、营业执照、</w:t>
      </w:r>
      <w:r>
        <w:rPr>
          <w:rFonts w:hint="eastAsia" w:ascii="方正仿宋_GBK" w:hAnsi="方正仿宋_GBK" w:eastAsia="方正仿宋_GBK" w:cs="方正仿宋_GBK"/>
          <w:color w:val="auto"/>
          <w:kern w:val="2"/>
          <w:sz w:val="32"/>
          <w:szCs w:val="32"/>
          <w:highlight w:val="none"/>
          <w:lang w:bidi="ar"/>
        </w:rPr>
        <w:t>项目建设场址使用</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租赁</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协议或</w:t>
      </w:r>
      <w:r>
        <w:rPr>
          <w:rFonts w:hint="eastAsia" w:ascii="方正仿宋_GBK" w:hAnsi="方正仿宋_GBK" w:eastAsia="方正仿宋_GBK" w:cs="方正仿宋_GBK"/>
          <w:strike w:val="0"/>
          <w:color w:val="auto"/>
          <w:kern w:val="2"/>
          <w:sz w:val="32"/>
          <w:szCs w:val="32"/>
          <w:highlight w:val="none"/>
          <w:lang w:val="en-US" w:eastAsia="zh-CN" w:bidi="ar"/>
        </w:rPr>
        <w:t>相关用地规划手续（如用地预审及选址意见书等）</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其中，</w:t>
      </w:r>
      <w:r>
        <w:rPr>
          <w:rFonts w:hint="eastAsia" w:ascii="方正仿宋_GBK" w:hAnsi="方正仿宋_GBK" w:eastAsia="方正仿宋_GBK" w:cs="方正仿宋_GBK"/>
          <w:color w:val="auto"/>
          <w:kern w:val="2"/>
          <w:sz w:val="32"/>
          <w:szCs w:val="32"/>
          <w:highlight w:val="none"/>
          <w:lang w:bidi="ar"/>
        </w:rPr>
        <w:t>聚合商需提供项目单位委托聚合商参与竞价的协议。</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rPr>
          <w:rFonts w:hint="eastAsia" w:ascii="CESI仿宋-GB2312" w:hAnsi="CESI仿宋-GB2312" w:eastAsia="CESI仿宋-GB2312" w:cs="CESI仿宋-GB2312"/>
          <w:color w:val="auto"/>
          <w:kern w:val="0"/>
          <w:sz w:val="32"/>
          <w:szCs w:val="32"/>
          <w:highlight w:val="none"/>
          <w:lang w:val="en-US" w:eastAsia="zh-CN" w:bidi="ar"/>
        </w:rPr>
      </w:pPr>
    </w:p>
    <w:p>
      <w:pPr>
        <w:pStyle w:val="4"/>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第</w:t>
      </w:r>
      <w:r>
        <w:rPr>
          <w:rFonts w:hint="eastAsia" w:ascii="方正黑体_GBK" w:hAnsi="方正黑体_GBK" w:eastAsia="方正黑体_GBK" w:cs="方正黑体_GBK"/>
          <w:b w:val="0"/>
          <w:bCs w:val="0"/>
          <w:color w:val="auto"/>
          <w:sz w:val="32"/>
          <w:szCs w:val="32"/>
          <w:highlight w:val="none"/>
          <w:lang w:eastAsia="zh-CN"/>
        </w:rPr>
        <w:t>六</w:t>
      </w:r>
      <w:r>
        <w:rPr>
          <w:rFonts w:hint="eastAsia" w:ascii="方正黑体_GBK" w:hAnsi="方正黑体_GBK" w:eastAsia="方正黑体_GBK" w:cs="方正黑体_GBK"/>
          <w:b w:val="0"/>
          <w:bCs w:val="0"/>
          <w:color w:val="auto"/>
          <w:sz w:val="32"/>
          <w:szCs w:val="32"/>
          <w:highlight w:val="none"/>
        </w:rPr>
        <w:t>章 竞价组织</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第二十三条 </w:t>
      </w:r>
      <w:r>
        <w:rPr>
          <w:rFonts w:hint="eastAsia" w:ascii="方正仿宋_GBK" w:hAnsi="方正仿宋_GBK" w:eastAsia="方正仿宋_GBK" w:cs="方正仿宋_GBK"/>
          <w:b w:val="0"/>
          <w:bCs w:val="0"/>
          <w:color w:val="auto"/>
          <w:sz w:val="32"/>
          <w:szCs w:val="32"/>
          <w:highlight w:val="none"/>
          <w:lang w:val="en-US" w:eastAsia="zh-CN"/>
        </w:rPr>
        <w:t>竞价工作按照发布通知、提交资料、</w:t>
      </w:r>
      <w:r>
        <w:rPr>
          <w:rFonts w:hint="eastAsia" w:ascii="方正仿宋_GBK" w:hAnsi="方正仿宋_GBK" w:eastAsia="方正仿宋_GBK" w:cs="方正仿宋_GBK"/>
          <w:color w:val="auto"/>
          <w:kern w:val="2"/>
          <w:sz w:val="32"/>
          <w:szCs w:val="32"/>
          <w:highlight w:val="none"/>
          <w:lang w:val="en-US" w:eastAsia="zh-CN"/>
        </w:rPr>
        <w:t>审核公示、</w:t>
      </w:r>
      <w:r>
        <w:rPr>
          <w:rFonts w:hint="eastAsia" w:ascii="方正仿宋_GBK" w:hAnsi="方正仿宋_GBK" w:eastAsia="方正仿宋_GBK" w:cs="方正仿宋_GBK"/>
          <w:b w:val="0"/>
          <w:bCs w:val="0"/>
          <w:color w:val="auto"/>
          <w:sz w:val="32"/>
          <w:szCs w:val="32"/>
          <w:highlight w:val="none"/>
          <w:lang w:val="en-US" w:eastAsia="zh-CN"/>
        </w:rPr>
        <w:t>提交保函、组织竞价、结果公示、结果公布、签订协议等程序组织。</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kern w:val="0"/>
          <w:sz w:val="32"/>
          <w:szCs w:val="32"/>
          <w:highlight w:val="none"/>
          <w:lang w:val="en-US" w:eastAsia="zh-CN" w:bidi="ar"/>
        </w:rPr>
        <w:t>第二十四条 发布通知。</w:t>
      </w:r>
      <w:r>
        <w:rPr>
          <w:rFonts w:hint="eastAsia" w:ascii="方正仿宋_GBK" w:hAnsi="方正仿宋_GBK" w:eastAsia="方正仿宋_GBK" w:cs="方正仿宋_GBK"/>
          <w:color w:val="auto"/>
          <w:sz w:val="32"/>
          <w:szCs w:val="32"/>
          <w:highlight w:val="none"/>
        </w:rPr>
        <w:t>省发展改革委负责发布年度竞价通知，竞价通知</w:t>
      </w:r>
      <w:r>
        <w:rPr>
          <w:rFonts w:hint="eastAsia" w:ascii="方正仿宋_GBK" w:hAnsi="方正仿宋_GBK" w:eastAsia="方正仿宋_GBK" w:cs="方正仿宋_GBK"/>
          <w:color w:val="auto"/>
          <w:sz w:val="32"/>
          <w:szCs w:val="32"/>
          <w:highlight w:val="none"/>
          <w:lang w:val="en-US" w:eastAsia="zh-CN"/>
        </w:rPr>
        <w:t>应</w:t>
      </w:r>
      <w:r>
        <w:rPr>
          <w:rFonts w:hint="eastAsia" w:ascii="方正仿宋_GBK" w:hAnsi="方正仿宋_GBK" w:eastAsia="方正仿宋_GBK" w:cs="方正仿宋_GBK"/>
          <w:color w:val="auto"/>
          <w:sz w:val="32"/>
          <w:szCs w:val="32"/>
          <w:highlight w:val="none"/>
        </w:rPr>
        <w:t>包括：竞价主体、</w:t>
      </w:r>
      <w:r>
        <w:rPr>
          <w:rFonts w:hint="eastAsia" w:ascii="方正仿宋_GBK" w:hAnsi="方正仿宋_GBK" w:eastAsia="方正仿宋_GBK" w:cs="方正仿宋_GBK"/>
          <w:color w:val="auto"/>
          <w:sz w:val="32"/>
          <w:szCs w:val="32"/>
          <w:highlight w:val="none"/>
          <w:lang w:val="en-US" w:eastAsia="zh-CN"/>
        </w:rPr>
        <w:t>竞价时间、竞价</w:t>
      </w:r>
      <w:r>
        <w:rPr>
          <w:rFonts w:hint="eastAsia" w:ascii="方正仿宋_GBK" w:hAnsi="方正仿宋_GBK" w:eastAsia="方正仿宋_GBK" w:cs="方正仿宋_GBK"/>
          <w:color w:val="auto"/>
          <w:sz w:val="32"/>
          <w:szCs w:val="32"/>
          <w:highlight w:val="none"/>
        </w:rPr>
        <w:t>分类、电量规模、竞价上下限、执行期限、履约保函要求等内容。</w:t>
      </w:r>
      <w:r>
        <w:rPr>
          <w:rFonts w:hint="eastAsia" w:ascii="方正仿宋_GBK" w:hAnsi="方正仿宋_GBK" w:eastAsia="方正仿宋_GBK" w:cs="方正仿宋_GBK"/>
          <w:color w:val="auto"/>
          <w:kern w:val="2"/>
          <w:sz w:val="32"/>
          <w:szCs w:val="32"/>
          <w:highlight w:val="none"/>
        </w:rPr>
        <w:t>省电力公司依据</w:t>
      </w:r>
      <w:r>
        <w:rPr>
          <w:rFonts w:hint="eastAsia" w:ascii="方正仿宋_GBK" w:hAnsi="方正仿宋_GBK" w:eastAsia="方正仿宋_GBK" w:cs="方正仿宋_GBK"/>
          <w:color w:val="auto"/>
          <w:kern w:val="2"/>
          <w:sz w:val="32"/>
          <w:szCs w:val="32"/>
          <w:highlight w:val="none"/>
          <w:lang w:bidi="ar"/>
        </w:rPr>
        <w:t>省发展改革委</w:t>
      </w:r>
      <w:r>
        <w:rPr>
          <w:rFonts w:hint="eastAsia" w:ascii="方正仿宋_GBK" w:hAnsi="方正仿宋_GBK" w:eastAsia="方正仿宋_GBK" w:cs="方正仿宋_GBK"/>
          <w:color w:val="auto"/>
          <w:kern w:val="2"/>
          <w:sz w:val="32"/>
          <w:szCs w:val="32"/>
          <w:highlight w:val="none"/>
          <w:lang w:eastAsia="zh-CN" w:bidi="ar"/>
        </w:rPr>
        <w:t>发布的</w:t>
      </w:r>
      <w:r>
        <w:rPr>
          <w:rFonts w:hint="eastAsia" w:ascii="方正仿宋_GBK" w:hAnsi="方正仿宋_GBK" w:eastAsia="方正仿宋_GBK" w:cs="方正仿宋_GBK"/>
          <w:color w:val="auto"/>
          <w:kern w:val="2"/>
          <w:sz w:val="32"/>
          <w:szCs w:val="32"/>
          <w:highlight w:val="none"/>
          <w:lang w:bidi="ar"/>
        </w:rPr>
        <w:t>竞价通知</w:t>
      </w:r>
      <w:r>
        <w:rPr>
          <w:rFonts w:hint="eastAsia" w:ascii="方正仿宋_GBK" w:hAnsi="方正仿宋_GBK" w:eastAsia="方正仿宋_GBK" w:cs="方正仿宋_GBK"/>
          <w:color w:val="auto"/>
          <w:kern w:val="2"/>
          <w:sz w:val="32"/>
          <w:szCs w:val="32"/>
          <w:highlight w:val="none"/>
        </w:rPr>
        <w:t>，</w:t>
      </w:r>
      <w:r>
        <w:rPr>
          <w:rFonts w:hint="eastAsia" w:ascii="方正仿宋_GBK" w:hAnsi="方正仿宋_GBK" w:eastAsia="方正仿宋_GBK" w:cs="方正仿宋_GBK"/>
          <w:color w:val="auto"/>
          <w:kern w:val="2"/>
          <w:sz w:val="32"/>
          <w:szCs w:val="32"/>
          <w:highlight w:val="none"/>
          <w:lang w:val="en-US" w:eastAsia="zh-CN"/>
        </w:rPr>
        <w:t>3个工作日内</w:t>
      </w:r>
      <w:r>
        <w:rPr>
          <w:rFonts w:hint="eastAsia" w:ascii="方正仿宋_GBK" w:hAnsi="方正仿宋_GBK" w:eastAsia="方正仿宋_GBK" w:cs="方正仿宋_GBK"/>
          <w:color w:val="auto"/>
          <w:kern w:val="2"/>
          <w:sz w:val="32"/>
          <w:szCs w:val="32"/>
          <w:highlight w:val="none"/>
          <w:lang w:bidi="ar"/>
        </w:rPr>
        <w:t>发布竞价公告</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明确</w:t>
      </w:r>
      <w:r>
        <w:rPr>
          <w:rFonts w:hint="eastAsia" w:ascii="方正仿宋_GBK" w:hAnsi="方正仿宋_GBK" w:eastAsia="方正仿宋_GBK" w:cs="方正仿宋_GBK"/>
          <w:color w:val="auto"/>
          <w:sz w:val="32"/>
          <w:szCs w:val="32"/>
          <w:highlight w:val="none"/>
          <w:lang w:val="en-US" w:eastAsia="zh-CN"/>
        </w:rPr>
        <w:t>竞价组织方式、</w:t>
      </w:r>
      <w:r>
        <w:rPr>
          <w:rFonts w:hint="eastAsia" w:ascii="方正仿宋_GBK" w:hAnsi="方正仿宋_GBK" w:eastAsia="方正仿宋_GBK" w:cs="方正仿宋_GBK"/>
          <w:color w:val="auto"/>
          <w:sz w:val="32"/>
          <w:szCs w:val="32"/>
          <w:highlight w:val="none"/>
        </w:rPr>
        <w:t>组织程序、时间安排等</w:t>
      </w:r>
      <w:r>
        <w:rPr>
          <w:rFonts w:hint="eastAsia" w:ascii="方正仿宋_GBK" w:hAnsi="方正仿宋_GBK" w:eastAsia="方正仿宋_GBK" w:cs="方正仿宋_GBK"/>
          <w:color w:val="auto"/>
          <w:sz w:val="32"/>
          <w:szCs w:val="32"/>
          <w:highlight w:val="none"/>
          <w:lang w:val="en-US" w:eastAsia="zh-CN"/>
        </w:rPr>
        <w:t>具体事宜</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每年竞价</w:t>
      </w:r>
      <w:r>
        <w:rPr>
          <w:rFonts w:hint="eastAsia" w:ascii="方正仿宋_GBK" w:hAnsi="方正仿宋_GBK" w:eastAsia="方正仿宋_GBK" w:cs="方正仿宋_GBK"/>
          <w:color w:val="auto"/>
          <w:sz w:val="32"/>
          <w:szCs w:val="32"/>
          <w:highlight w:val="none"/>
          <w:lang w:val="en-US" w:eastAsia="zh-CN"/>
        </w:rPr>
        <w:t>通知</w:t>
      </w:r>
      <w:r>
        <w:rPr>
          <w:rFonts w:hint="eastAsia" w:ascii="方正仿宋_GBK" w:hAnsi="方正仿宋_GBK" w:eastAsia="方正仿宋_GBK" w:cs="方正仿宋_GBK"/>
          <w:color w:val="auto"/>
          <w:sz w:val="32"/>
          <w:szCs w:val="32"/>
          <w:highlight w:val="none"/>
          <w:lang w:eastAsia="zh-CN"/>
        </w:rPr>
        <w:t>原则上于</w:t>
      </w:r>
      <w:r>
        <w:rPr>
          <w:rFonts w:hint="eastAsia" w:ascii="方正仿宋_GBK" w:hAnsi="方正仿宋_GBK" w:eastAsia="方正仿宋_GBK" w:cs="方正仿宋_GBK"/>
          <w:color w:val="auto"/>
          <w:sz w:val="32"/>
          <w:szCs w:val="32"/>
          <w:highlight w:val="none"/>
          <w:lang w:val="en-US" w:eastAsia="zh-CN"/>
        </w:rPr>
        <w:t>10月底前发布</w:t>
      </w:r>
      <w:r>
        <w:rPr>
          <w:rFonts w:hint="eastAsia" w:ascii="方正仿宋_GBK" w:hAnsi="方正仿宋_GBK" w:eastAsia="方正仿宋_GBK" w:cs="方正仿宋_GBK"/>
          <w:color w:val="auto"/>
          <w:sz w:val="32"/>
          <w:szCs w:val="32"/>
          <w:highlight w:val="none"/>
          <w:lang w:eastAsia="zh-CN"/>
        </w:rPr>
        <w:t>。其中，</w:t>
      </w:r>
      <w:r>
        <w:rPr>
          <w:rFonts w:hint="eastAsia" w:ascii="方正仿宋_GBK" w:hAnsi="方正仿宋_GBK" w:eastAsia="方正仿宋_GBK" w:cs="方正仿宋_GBK"/>
          <w:color w:val="auto"/>
          <w:sz w:val="32"/>
          <w:szCs w:val="32"/>
          <w:highlight w:val="none"/>
        </w:rPr>
        <w:t>2025年</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1日</w:t>
      </w:r>
      <w:r>
        <w:rPr>
          <w:rFonts w:hint="eastAsia" w:ascii="方正仿宋_GBK" w:hAnsi="方正仿宋_GBK" w:eastAsia="方正仿宋_GBK" w:cs="方正仿宋_GBK"/>
          <w:color w:val="auto"/>
          <w:sz w:val="32"/>
          <w:szCs w:val="32"/>
          <w:highlight w:val="none"/>
          <w:lang w:eastAsia="zh-CN"/>
        </w:rPr>
        <w:t>至</w:t>
      </w:r>
      <w:r>
        <w:rPr>
          <w:rFonts w:hint="eastAsia" w:ascii="方正仿宋_GBK" w:hAnsi="方正仿宋_GBK" w:eastAsia="方正仿宋_GBK" w:cs="方正仿宋_GBK"/>
          <w:color w:val="auto"/>
          <w:sz w:val="32"/>
          <w:szCs w:val="32"/>
          <w:highlight w:val="none"/>
        </w:rPr>
        <w:t>12月31日</w:t>
      </w:r>
      <w:r>
        <w:rPr>
          <w:rFonts w:hint="eastAsia" w:ascii="方正仿宋_GBK" w:hAnsi="方正仿宋_GBK" w:eastAsia="方正仿宋_GBK" w:cs="方正仿宋_GBK"/>
          <w:color w:val="auto"/>
          <w:sz w:val="32"/>
          <w:szCs w:val="32"/>
          <w:highlight w:val="none"/>
          <w:lang w:eastAsia="zh-CN"/>
        </w:rPr>
        <w:t>期间增量项目竞价</w:t>
      </w:r>
      <w:r>
        <w:rPr>
          <w:rFonts w:hint="eastAsia" w:ascii="方正仿宋_GBK" w:hAnsi="方正仿宋_GBK" w:eastAsia="方正仿宋_GBK" w:cs="方正仿宋_GBK"/>
          <w:color w:val="auto"/>
          <w:sz w:val="32"/>
          <w:szCs w:val="32"/>
          <w:highlight w:val="none"/>
          <w:lang w:val="en-US" w:eastAsia="zh-CN"/>
        </w:rPr>
        <w:t>通知</w:t>
      </w:r>
      <w:r>
        <w:rPr>
          <w:rFonts w:hint="eastAsia" w:ascii="方正仿宋_GBK" w:hAnsi="方正仿宋_GBK" w:eastAsia="方正仿宋_GBK" w:cs="方正仿宋_GBK"/>
          <w:color w:val="auto"/>
          <w:sz w:val="32"/>
          <w:szCs w:val="32"/>
          <w:highlight w:val="none"/>
          <w:lang w:eastAsia="zh-CN"/>
        </w:rPr>
        <w:t>于</w:t>
      </w:r>
      <w:r>
        <w:rPr>
          <w:rFonts w:hint="eastAsia" w:ascii="方正仿宋_GBK" w:hAnsi="方正仿宋_GBK" w:eastAsia="方正仿宋_GBK" w:cs="方正仿宋_GBK"/>
          <w:color w:val="auto"/>
          <w:sz w:val="32"/>
          <w:szCs w:val="32"/>
          <w:highlight w:val="none"/>
          <w:lang w:val="en-US" w:eastAsia="zh-CN"/>
        </w:rPr>
        <w:t>2025年</w:t>
      </w:r>
      <w:r>
        <w:rPr>
          <w:rFonts w:hint="eastAsia" w:ascii="方正仿宋_GBK" w:hAnsi="方正仿宋_GBK" w:eastAsia="方正仿宋_GBK" w:cs="方正仿宋_GBK"/>
          <w:color w:val="auto"/>
          <w:kern w:val="2"/>
          <w:sz w:val="32"/>
          <w:szCs w:val="32"/>
          <w:highlight w:val="none"/>
          <w:lang w:val="en-US" w:eastAsia="zh-CN" w:bidi="ar"/>
        </w:rPr>
        <w:t>*</w:t>
      </w:r>
      <w:r>
        <w:rPr>
          <w:rFonts w:hint="eastAsia" w:ascii="方正仿宋_GBK" w:hAnsi="方正仿宋_GBK" w:eastAsia="方正仿宋_GBK" w:cs="方正仿宋_GBK"/>
          <w:color w:val="auto"/>
          <w:sz w:val="32"/>
          <w:szCs w:val="32"/>
          <w:highlight w:val="none"/>
          <w:lang w:val="en-US" w:eastAsia="zh-CN"/>
        </w:rPr>
        <w:t>月发布。</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kern w:val="0"/>
          <w:sz w:val="32"/>
          <w:szCs w:val="32"/>
          <w:highlight w:val="none"/>
          <w:lang w:val="en-US" w:eastAsia="zh-CN" w:bidi="ar"/>
        </w:rPr>
        <w:t>第二十五条 提交资料。</w:t>
      </w:r>
      <w:r>
        <w:rPr>
          <w:rFonts w:hint="eastAsia" w:ascii="方正仿宋_GBK" w:hAnsi="方正仿宋_GBK" w:eastAsia="方正仿宋_GBK" w:cs="方正仿宋_GBK"/>
          <w:color w:val="auto"/>
          <w:kern w:val="2"/>
          <w:sz w:val="32"/>
          <w:szCs w:val="32"/>
          <w:highlight w:val="none"/>
          <w:lang w:bidi="ar"/>
        </w:rPr>
        <w:t>拟参与竞价的</w:t>
      </w:r>
      <w:r>
        <w:rPr>
          <w:rFonts w:hint="eastAsia" w:ascii="方正仿宋_GBK" w:hAnsi="方正仿宋_GBK" w:eastAsia="方正仿宋_GBK" w:cs="方正仿宋_GBK"/>
          <w:color w:val="auto"/>
          <w:kern w:val="2"/>
          <w:sz w:val="32"/>
          <w:szCs w:val="32"/>
          <w:highlight w:val="none"/>
          <w:lang w:eastAsia="zh-CN" w:bidi="ar"/>
        </w:rPr>
        <w:t>新能源项目</w:t>
      </w:r>
      <w:r>
        <w:rPr>
          <w:rFonts w:hint="eastAsia" w:ascii="方正仿宋_GBK" w:hAnsi="方正仿宋_GBK" w:eastAsia="方正仿宋_GBK" w:cs="方正仿宋_GBK"/>
          <w:color w:val="auto"/>
          <w:kern w:val="2"/>
          <w:sz w:val="32"/>
          <w:szCs w:val="32"/>
          <w:highlight w:val="none"/>
          <w:lang w:bidi="ar"/>
        </w:rPr>
        <w:t>，</w:t>
      </w:r>
      <w:r>
        <w:rPr>
          <w:rFonts w:hint="eastAsia" w:ascii="方正仿宋_GBK" w:hAnsi="方正仿宋_GBK" w:eastAsia="方正仿宋_GBK" w:cs="方正仿宋_GBK"/>
          <w:color w:val="auto"/>
          <w:kern w:val="2"/>
          <w:sz w:val="32"/>
          <w:szCs w:val="32"/>
          <w:highlight w:val="none"/>
          <w:lang w:eastAsia="zh-CN" w:bidi="ar"/>
        </w:rPr>
        <w:t>按公告要求在规定时间内，</w:t>
      </w:r>
      <w:r>
        <w:rPr>
          <w:rFonts w:hint="eastAsia" w:ascii="方正仿宋_GBK" w:hAnsi="方正仿宋_GBK" w:eastAsia="方正仿宋_GBK" w:cs="方正仿宋_GBK"/>
          <w:color w:val="auto"/>
          <w:kern w:val="2"/>
          <w:sz w:val="32"/>
          <w:szCs w:val="32"/>
          <w:highlight w:val="none"/>
          <w:lang w:bidi="ar"/>
        </w:rPr>
        <w:t>提交项目竞价相关材料</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并对提交材料的真实性、完整性负责</w:t>
      </w:r>
      <w:r>
        <w:rPr>
          <w:rFonts w:hint="eastAsia" w:ascii="方正仿宋_GBK" w:hAnsi="方正仿宋_GBK" w:eastAsia="方正仿宋_GBK" w:cs="方正仿宋_GBK"/>
          <w:color w:val="auto"/>
          <w:kern w:val="2"/>
          <w:sz w:val="32"/>
          <w:szCs w:val="32"/>
          <w:highlight w:val="none"/>
          <w:lang w:bidi="ar"/>
        </w:rPr>
        <w:t>。</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b w:val="0"/>
          <w:bCs w:val="0"/>
          <w:color w:val="auto"/>
          <w:kern w:val="2"/>
          <w:sz w:val="32"/>
          <w:szCs w:val="32"/>
          <w:highlight w:val="none"/>
          <w:lang w:eastAsia="zh-CN" w:bidi="ar"/>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val="en-US" w:eastAsia="zh-CN" w:bidi="ar"/>
        </w:rPr>
        <w:t>二十六</w:t>
      </w:r>
      <w:r>
        <w:rPr>
          <w:rFonts w:hint="eastAsia" w:ascii="方正仿宋_GBK" w:hAnsi="方正仿宋_GBK" w:eastAsia="方正仿宋_GBK" w:cs="方正仿宋_GBK"/>
          <w:b/>
          <w:bCs/>
          <w:color w:val="auto"/>
          <w:kern w:val="0"/>
          <w:sz w:val="32"/>
          <w:szCs w:val="32"/>
          <w:highlight w:val="none"/>
          <w:lang w:bidi="ar"/>
        </w:rPr>
        <w:t xml:space="preserve">条 </w:t>
      </w:r>
      <w:r>
        <w:rPr>
          <w:rFonts w:hint="eastAsia" w:ascii="方正仿宋_GBK" w:hAnsi="方正仿宋_GBK" w:eastAsia="方正仿宋_GBK" w:cs="方正仿宋_GBK"/>
          <w:b/>
          <w:bCs/>
          <w:color w:val="auto"/>
          <w:kern w:val="0"/>
          <w:sz w:val="32"/>
          <w:szCs w:val="32"/>
          <w:highlight w:val="none"/>
          <w:lang w:val="en-US" w:eastAsia="zh-CN" w:bidi="ar"/>
        </w:rPr>
        <w:t>审核公示</w:t>
      </w:r>
      <w:r>
        <w:rPr>
          <w:rFonts w:hint="eastAsia" w:ascii="方正仿宋_GBK" w:hAnsi="方正仿宋_GBK" w:eastAsia="方正仿宋_GBK" w:cs="方正仿宋_GBK"/>
          <w:b/>
          <w:bCs/>
          <w:color w:val="auto"/>
          <w:kern w:val="0"/>
          <w:sz w:val="32"/>
          <w:szCs w:val="32"/>
          <w:highlight w:val="none"/>
          <w:lang w:bidi="ar"/>
        </w:rPr>
        <w:t>。</w:t>
      </w:r>
      <w:r>
        <w:rPr>
          <w:rFonts w:hint="eastAsia" w:ascii="方正仿宋_GBK" w:hAnsi="方正仿宋_GBK" w:eastAsia="方正仿宋_GBK" w:cs="方正仿宋_GBK"/>
          <w:color w:val="auto"/>
          <w:kern w:val="2"/>
          <w:sz w:val="32"/>
          <w:szCs w:val="32"/>
          <w:highlight w:val="none"/>
          <w:lang w:bidi="ar"/>
        </w:rPr>
        <w:t>省电力公司对提交材料的完整性、合规性进行</w:t>
      </w:r>
      <w:r>
        <w:rPr>
          <w:rFonts w:hint="eastAsia" w:ascii="方正仿宋_GBK" w:hAnsi="方正仿宋_GBK" w:eastAsia="方正仿宋_GBK" w:cs="方正仿宋_GBK"/>
          <w:color w:val="auto"/>
          <w:kern w:val="2"/>
          <w:sz w:val="32"/>
          <w:szCs w:val="32"/>
          <w:highlight w:val="none"/>
          <w:lang w:val="en-US" w:eastAsia="zh-CN" w:bidi="ar"/>
        </w:rPr>
        <w:t>初审</w:t>
      </w:r>
      <w:r>
        <w:rPr>
          <w:rFonts w:hint="eastAsia" w:ascii="方正仿宋_GBK" w:hAnsi="方正仿宋_GBK" w:eastAsia="方正仿宋_GBK" w:cs="方正仿宋_GBK"/>
          <w:color w:val="auto"/>
          <w:kern w:val="2"/>
          <w:sz w:val="32"/>
          <w:szCs w:val="32"/>
          <w:highlight w:val="none"/>
          <w:lang w:bidi="ar"/>
        </w:rPr>
        <w:t>，汇总项目</w:t>
      </w:r>
      <w:r>
        <w:rPr>
          <w:rFonts w:hint="eastAsia" w:ascii="方正仿宋_GBK" w:hAnsi="方正仿宋_GBK" w:eastAsia="方正仿宋_GBK" w:cs="方正仿宋_GBK"/>
          <w:color w:val="auto"/>
          <w:kern w:val="2"/>
          <w:sz w:val="32"/>
          <w:szCs w:val="32"/>
          <w:highlight w:val="none"/>
          <w:lang w:val="en-US" w:eastAsia="zh-CN" w:bidi="ar"/>
        </w:rPr>
        <w:t>有关</w:t>
      </w:r>
      <w:r>
        <w:rPr>
          <w:rFonts w:hint="eastAsia" w:ascii="方正仿宋_GBK" w:hAnsi="方正仿宋_GBK" w:eastAsia="方正仿宋_GBK" w:cs="方正仿宋_GBK"/>
          <w:color w:val="auto"/>
          <w:kern w:val="2"/>
          <w:sz w:val="32"/>
          <w:szCs w:val="32"/>
          <w:highlight w:val="none"/>
          <w:lang w:bidi="ar"/>
        </w:rPr>
        <w:t>信息，归集项目所属一级集团信息，开展市场集中度监控。若审核中发现材料缺失的，拟参与竞价的</w:t>
      </w:r>
      <w:r>
        <w:rPr>
          <w:rFonts w:hint="eastAsia" w:ascii="方正仿宋_GBK" w:hAnsi="方正仿宋_GBK" w:eastAsia="方正仿宋_GBK" w:cs="方正仿宋_GBK"/>
          <w:color w:val="auto"/>
          <w:kern w:val="2"/>
          <w:sz w:val="32"/>
          <w:szCs w:val="32"/>
          <w:highlight w:val="none"/>
          <w:lang w:eastAsia="zh-CN" w:bidi="ar"/>
        </w:rPr>
        <w:t>新能源</w:t>
      </w:r>
      <w:r>
        <w:rPr>
          <w:rFonts w:hint="eastAsia" w:ascii="方正仿宋_GBK" w:hAnsi="方正仿宋_GBK" w:eastAsia="方正仿宋_GBK" w:cs="方正仿宋_GBK"/>
          <w:color w:val="auto"/>
          <w:kern w:val="2"/>
          <w:sz w:val="32"/>
          <w:szCs w:val="32"/>
          <w:highlight w:val="none"/>
          <w:lang w:bidi="ar"/>
        </w:rPr>
        <w:t>项目</w:t>
      </w:r>
      <w:r>
        <w:rPr>
          <w:rFonts w:hint="eastAsia" w:ascii="方正仿宋_GBK" w:hAnsi="方正仿宋_GBK" w:eastAsia="方正仿宋_GBK" w:cs="方正仿宋_GBK"/>
          <w:color w:val="auto"/>
          <w:kern w:val="2"/>
          <w:sz w:val="32"/>
          <w:szCs w:val="32"/>
          <w:highlight w:val="none"/>
          <w:lang w:eastAsia="zh-CN" w:bidi="ar"/>
        </w:rPr>
        <w:t>需在限期</w:t>
      </w:r>
      <w:r>
        <w:rPr>
          <w:rFonts w:hint="eastAsia" w:ascii="方正仿宋_GBK" w:hAnsi="方正仿宋_GBK" w:eastAsia="方正仿宋_GBK" w:cs="方正仿宋_GBK"/>
          <w:color w:val="auto"/>
          <w:kern w:val="2"/>
          <w:sz w:val="32"/>
          <w:szCs w:val="32"/>
          <w:highlight w:val="none"/>
          <w:lang w:bidi="ar"/>
        </w:rPr>
        <w:t>内补齐</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sz w:val="32"/>
          <w:szCs w:val="32"/>
          <w:highlight w:val="none"/>
          <w:lang w:eastAsia="zh-CN"/>
        </w:rPr>
        <w:t>逾期未</w:t>
      </w:r>
      <w:r>
        <w:rPr>
          <w:rFonts w:hint="eastAsia" w:ascii="方正仿宋_GBK" w:hAnsi="方正仿宋_GBK" w:eastAsia="方正仿宋_GBK" w:cs="方正仿宋_GBK"/>
          <w:color w:val="auto"/>
          <w:sz w:val="32"/>
          <w:szCs w:val="32"/>
          <w:highlight w:val="none"/>
          <w:lang w:val="en-US" w:eastAsia="zh-CN"/>
        </w:rPr>
        <w:t>补齐的</w:t>
      </w:r>
      <w:r>
        <w:rPr>
          <w:rFonts w:hint="eastAsia" w:ascii="方正仿宋_GBK" w:hAnsi="方正仿宋_GBK" w:eastAsia="方正仿宋_GBK" w:cs="方正仿宋_GBK"/>
          <w:color w:val="auto"/>
          <w:sz w:val="32"/>
          <w:szCs w:val="32"/>
          <w:highlight w:val="none"/>
          <w:lang w:eastAsia="zh-CN"/>
        </w:rPr>
        <w:t>，取消</w:t>
      </w:r>
      <w:r>
        <w:rPr>
          <w:rFonts w:hint="eastAsia" w:ascii="方正仿宋_GBK" w:hAnsi="方正仿宋_GBK" w:eastAsia="方正仿宋_GBK" w:cs="方正仿宋_GBK"/>
          <w:color w:val="auto"/>
          <w:sz w:val="32"/>
          <w:szCs w:val="32"/>
          <w:highlight w:val="none"/>
          <w:lang w:val="en-US" w:eastAsia="zh-CN"/>
        </w:rPr>
        <w:t>其当年</w:t>
      </w:r>
      <w:r>
        <w:rPr>
          <w:rFonts w:hint="eastAsia" w:ascii="方正仿宋_GBK" w:hAnsi="方正仿宋_GBK" w:eastAsia="方正仿宋_GBK" w:cs="方正仿宋_GBK"/>
          <w:color w:val="auto"/>
          <w:sz w:val="32"/>
          <w:szCs w:val="32"/>
          <w:highlight w:val="none"/>
          <w:lang w:eastAsia="zh-CN"/>
        </w:rPr>
        <w:t>竞价资格。</w:t>
      </w:r>
      <w:r>
        <w:rPr>
          <w:rFonts w:hint="eastAsia" w:ascii="方正仿宋_GBK" w:hAnsi="方正仿宋_GBK" w:eastAsia="方正仿宋_GBK" w:cs="方正仿宋_GBK"/>
          <w:color w:val="auto"/>
          <w:sz w:val="32"/>
          <w:szCs w:val="32"/>
          <w:highlight w:val="none"/>
          <w:lang w:val="en-US" w:eastAsia="zh-CN"/>
        </w:rPr>
        <w:t>初审情况及结果报省发展改革委、省能源局</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eastAsia="zh-CN"/>
        </w:rPr>
        <w:t>山西能源监管办</w:t>
      </w:r>
      <w:r>
        <w:rPr>
          <w:rFonts w:hint="eastAsia" w:ascii="方正仿宋_GBK" w:hAnsi="方正仿宋_GBK" w:eastAsia="方正仿宋_GBK" w:cs="方正仿宋_GBK"/>
          <w:color w:val="auto"/>
          <w:sz w:val="32"/>
          <w:szCs w:val="32"/>
          <w:highlight w:val="none"/>
          <w:lang w:val="en-US" w:eastAsia="zh-CN"/>
        </w:rPr>
        <w:t>审定</w:t>
      </w:r>
      <w:r>
        <w:rPr>
          <w:rFonts w:hint="eastAsia" w:ascii="方正仿宋_GBK" w:hAnsi="方正仿宋_GBK" w:eastAsia="方正仿宋_GBK" w:cs="方正仿宋_GBK"/>
          <w:color w:val="auto"/>
          <w:kern w:val="2"/>
          <w:sz w:val="32"/>
          <w:szCs w:val="32"/>
          <w:highlight w:val="none"/>
          <w:lang w:bidi="ar"/>
        </w:rPr>
        <w:t>后，省电力公司</w:t>
      </w:r>
      <w:r>
        <w:rPr>
          <w:rFonts w:hint="eastAsia" w:ascii="方正仿宋_GBK" w:hAnsi="方正仿宋_GBK" w:eastAsia="方正仿宋_GBK" w:cs="方正仿宋_GBK"/>
          <w:color w:val="auto"/>
          <w:kern w:val="2"/>
          <w:sz w:val="32"/>
          <w:szCs w:val="32"/>
          <w:highlight w:val="none"/>
          <w:lang w:val="en-US" w:eastAsia="zh-CN" w:bidi="ar"/>
        </w:rPr>
        <w:t>对审核结果予以公示，公示期为3个工作日</w:t>
      </w:r>
      <w:r>
        <w:rPr>
          <w:rFonts w:hint="eastAsia" w:ascii="方正仿宋_GBK" w:hAnsi="方正仿宋_GBK" w:eastAsia="方正仿宋_GBK" w:cs="方正仿宋_GBK"/>
          <w:color w:val="auto"/>
          <w:kern w:val="2"/>
          <w:sz w:val="32"/>
          <w:szCs w:val="32"/>
          <w:highlight w:val="none"/>
          <w:lang w:bidi="ar"/>
        </w:rPr>
        <w:t>。</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val="en-US" w:eastAsia="zh-CN" w:bidi="ar"/>
        </w:rPr>
        <w:t>二十七</w:t>
      </w:r>
      <w:r>
        <w:rPr>
          <w:rFonts w:hint="eastAsia" w:ascii="方正仿宋_GBK" w:hAnsi="方正仿宋_GBK" w:eastAsia="方正仿宋_GBK" w:cs="方正仿宋_GBK"/>
          <w:b/>
          <w:bCs/>
          <w:color w:val="auto"/>
          <w:kern w:val="0"/>
          <w:sz w:val="32"/>
          <w:szCs w:val="32"/>
          <w:highlight w:val="none"/>
          <w:lang w:bidi="ar"/>
        </w:rPr>
        <w:t>条 提交保函。</w:t>
      </w:r>
      <w:r>
        <w:rPr>
          <w:rFonts w:hint="eastAsia" w:ascii="方正仿宋_GBK" w:hAnsi="方正仿宋_GBK" w:eastAsia="方正仿宋_GBK" w:cs="方正仿宋_GBK"/>
          <w:color w:val="auto"/>
          <w:kern w:val="2"/>
          <w:sz w:val="32"/>
          <w:szCs w:val="32"/>
          <w:highlight w:val="none"/>
          <w:lang w:bidi="ar"/>
        </w:rPr>
        <w:t>通过</w:t>
      </w:r>
      <w:r>
        <w:rPr>
          <w:rFonts w:hint="eastAsia" w:ascii="方正仿宋_GBK" w:hAnsi="方正仿宋_GBK" w:eastAsia="方正仿宋_GBK" w:cs="方正仿宋_GBK"/>
          <w:color w:val="auto"/>
          <w:kern w:val="2"/>
          <w:sz w:val="32"/>
          <w:szCs w:val="32"/>
          <w:highlight w:val="none"/>
          <w:lang w:eastAsia="zh-CN" w:bidi="ar"/>
        </w:rPr>
        <w:t>资质</w:t>
      </w:r>
      <w:r>
        <w:rPr>
          <w:rFonts w:hint="eastAsia" w:ascii="方正仿宋_GBK" w:hAnsi="方正仿宋_GBK" w:eastAsia="方正仿宋_GBK" w:cs="方正仿宋_GBK"/>
          <w:color w:val="auto"/>
          <w:kern w:val="2"/>
          <w:sz w:val="32"/>
          <w:szCs w:val="32"/>
          <w:highlight w:val="none"/>
          <w:lang w:bidi="ar"/>
        </w:rPr>
        <w:t>审核的新能源</w:t>
      </w:r>
      <w:r>
        <w:rPr>
          <w:rFonts w:hint="eastAsia" w:ascii="方正仿宋_GBK" w:hAnsi="方正仿宋_GBK" w:eastAsia="方正仿宋_GBK" w:cs="方正仿宋_GBK"/>
          <w:color w:val="auto"/>
          <w:kern w:val="2"/>
          <w:sz w:val="32"/>
          <w:szCs w:val="32"/>
          <w:highlight w:val="none"/>
          <w:lang w:eastAsia="zh-CN" w:bidi="ar"/>
        </w:rPr>
        <w:t>项目、</w:t>
      </w:r>
      <w:r>
        <w:rPr>
          <w:rFonts w:hint="eastAsia" w:ascii="方正仿宋_GBK" w:hAnsi="方正仿宋_GBK" w:eastAsia="方正仿宋_GBK" w:cs="方正仿宋_GBK"/>
          <w:color w:val="auto"/>
          <w:kern w:val="2"/>
          <w:sz w:val="32"/>
          <w:szCs w:val="32"/>
          <w:highlight w:val="none"/>
          <w:lang w:bidi="ar"/>
        </w:rPr>
        <w:t>聚合商</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应按照竞价公告</w:t>
      </w:r>
      <w:r>
        <w:rPr>
          <w:rFonts w:hint="eastAsia" w:ascii="方正仿宋_GBK" w:hAnsi="方正仿宋_GBK" w:eastAsia="方正仿宋_GBK" w:cs="方正仿宋_GBK"/>
          <w:color w:val="auto"/>
          <w:kern w:val="2"/>
          <w:sz w:val="32"/>
          <w:szCs w:val="32"/>
          <w:highlight w:val="none"/>
          <w:lang w:eastAsia="zh-CN" w:bidi="ar"/>
        </w:rPr>
        <w:t>提交</w:t>
      </w:r>
      <w:r>
        <w:rPr>
          <w:rFonts w:hint="eastAsia" w:ascii="方正仿宋_GBK" w:hAnsi="方正仿宋_GBK" w:eastAsia="方正仿宋_GBK" w:cs="方正仿宋_GBK"/>
          <w:color w:val="auto"/>
          <w:kern w:val="2"/>
          <w:sz w:val="32"/>
          <w:szCs w:val="32"/>
          <w:highlight w:val="none"/>
          <w:lang w:bidi="ar"/>
        </w:rPr>
        <w:t>履约保函（</w:t>
      </w:r>
      <w:r>
        <w:rPr>
          <w:rFonts w:hint="eastAsia" w:ascii="方正仿宋_GBK" w:hAnsi="方正仿宋_GBK" w:eastAsia="方正仿宋_GBK" w:cs="方正仿宋_GBK"/>
          <w:color w:val="auto"/>
          <w:kern w:val="2"/>
          <w:sz w:val="32"/>
          <w:szCs w:val="32"/>
          <w:highlight w:val="none"/>
          <w:lang w:val="en-US" w:eastAsia="zh-CN" w:bidi="ar"/>
        </w:rPr>
        <w:t>未通过聚合商参与竞价的</w:t>
      </w:r>
      <w:r>
        <w:rPr>
          <w:rFonts w:hint="eastAsia" w:ascii="方正仿宋_GBK" w:hAnsi="方正仿宋_GBK" w:eastAsia="方正仿宋_GBK" w:cs="方正仿宋_GBK"/>
          <w:strike w:val="0"/>
          <w:color w:val="auto"/>
          <w:kern w:val="2"/>
          <w:sz w:val="32"/>
          <w:szCs w:val="32"/>
          <w:highlight w:val="none"/>
          <w:lang w:eastAsia="zh-CN" w:bidi="ar"/>
        </w:rPr>
        <w:t>自然人户用</w:t>
      </w:r>
      <w:r>
        <w:rPr>
          <w:rFonts w:hint="eastAsia" w:ascii="方正仿宋_GBK" w:hAnsi="方正仿宋_GBK" w:eastAsia="方正仿宋_GBK" w:cs="方正仿宋_GBK"/>
          <w:color w:val="auto"/>
          <w:kern w:val="2"/>
          <w:sz w:val="32"/>
          <w:szCs w:val="32"/>
          <w:highlight w:val="none"/>
          <w:lang w:eastAsia="zh-CN" w:bidi="ar"/>
        </w:rPr>
        <w:t>分布式光伏项目免交履约保函</w:t>
      </w:r>
      <w:r>
        <w:rPr>
          <w:rFonts w:hint="eastAsia" w:ascii="方正仿宋_GBK" w:hAnsi="方正仿宋_GBK" w:eastAsia="方正仿宋_GBK" w:cs="方正仿宋_GBK"/>
          <w:color w:val="auto"/>
          <w:kern w:val="2"/>
          <w:sz w:val="32"/>
          <w:szCs w:val="32"/>
          <w:highlight w:val="none"/>
          <w:lang w:bidi="ar"/>
        </w:rPr>
        <w:t>）。已投产项目原则上不收取履约保函。</w:t>
      </w:r>
      <w:r>
        <w:rPr>
          <w:rFonts w:hint="eastAsia" w:ascii="方正仿宋_GBK" w:hAnsi="方正仿宋_GBK" w:eastAsia="方正仿宋_GBK" w:cs="方正仿宋_GBK"/>
          <w:color w:val="auto"/>
          <w:kern w:val="2"/>
          <w:sz w:val="32"/>
          <w:szCs w:val="32"/>
          <w:highlight w:val="none"/>
          <w:lang w:val="en-US" w:eastAsia="zh-CN" w:bidi="ar"/>
        </w:rPr>
        <w:t>履约保函不符合规定的，需在限期内按要求重新提交，逾期未重新提交或仍不符合规定的，取消其当年竞价资格。</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default" w:ascii="CESI仿宋-GB2312" w:hAnsi="CESI仿宋-GB2312" w:eastAsia="方正仿宋_GBK" w:cs="CESI仿宋-GB2312"/>
          <w:color w:val="auto"/>
          <w:kern w:val="2"/>
          <w:sz w:val="32"/>
          <w:szCs w:val="32"/>
          <w:highlight w:val="none"/>
          <w:lang w:val="en-US" w:eastAsia="zh-CN" w:bidi="ar"/>
        </w:rPr>
      </w:pPr>
      <w:r>
        <w:rPr>
          <w:rFonts w:hint="eastAsia" w:ascii="方正仿宋_GBK" w:hAnsi="方正仿宋_GBK" w:eastAsia="方正仿宋_GBK" w:cs="方正仿宋_GBK"/>
          <w:color w:val="auto"/>
          <w:kern w:val="2"/>
          <w:sz w:val="32"/>
          <w:szCs w:val="32"/>
          <w:highlight w:val="none"/>
          <w:lang w:bidi="ar"/>
        </w:rPr>
        <w:t>保函金额</w:t>
      </w:r>
      <w:r>
        <w:rPr>
          <w:rFonts w:hint="eastAsia" w:ascii="方正仿宋_GBK" w:hAnsi="方正仿宋_GBK" w:eastAsia="方正仿宋_GBK" w:cs="方正仿宋_GBK"/>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bidi="ar"/>
        </w:rPr>
        <w:t>项目核准</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备案</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装机容量</w:t>
      </w:r>
      <w:r>
        <w:rPr>
          <w:rFonts w:hint="eastAsia" w:ascii="方正仿宋_GBK" w:hAnsi="方正仿宋_GBK" w:eastAsia="方正仿宋_GBK" w:cs="方正仿宋_GBK"/>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eastAsia="zh-CN" w:bidi="ar"/>
        </w:rPr>
        <w:t>同类项目近</w:t>
      </w:r>
      <w:r>
        <w:rPr>
          <w:rFonts w:hint="eastAsia" w:ascii="方正仿宋_GBK" w:hAnsi="方正仿宋_GBK" w:eastAsia="方正仿宋_GBK" w:cs="方正仿宋_GBK"/>
          <w:color w:val="auto"/>
          <w:kern w:val="2"/>
          <w:sz w:val="32"/>
          <w:szCs w:val="32"/>
          <w:highlight w:val="none"/>
          <w:lang w:bidi="ar"/>
        </w:rPr>
        <w:t>三年平均发电利用小时</w:t>
      </w:r>
      <w:r>
        <w:rPr>
          <w:rFonts w:hint="eastAsia" w:ascii="方正仿宋_GBK" w:hAnsi="方正仿宋_GBK" w:eastAsia="方正仿宋_GBK" w:cs="方正仿宋_GBK"/>
          <w:color w:val="auto"/>
          <w:kern w:val="2"/>
          <w:sz w:val="32"/>
          <w:szCs w:val="32"/>
          <w:highlight w:val="none"/>
          <w:lang w:val="en-US" w:eastAsia="zh-CN" w:bidi="ar"/>
        </w:rPr>
        <w:t>×同类项目</w:t>
      </w:r>
      <w:r>
        <w:rPr>
          <w:rFonts w:hint="eastAsia" w:ascii="方正仿宋_GBK" w:hAnsi="方正仿宋_GBK" w:eastAsia="方正仿宋_GBK" w:cs="方正仿宋_GBK"/>
          <w:color w:val="auto"/>
          <w:kern w:val="2"/>
          <w:sz w:val="32"/>
          <w:szCs w:val="32"/>
          <w:highlight w:val="none"/>
          <w:lang w:eastAsia="zh-CN" w:bidi="ar"/>
        </w:rPr>
        <w:t>近</w:t>
      </w:r>
      <w:r>
        <w:rPr>
          <w:rFonts w:hint="eastAsia" w:ascii="方正仿宋_GBK" w:hAnsi="方正仿宋_GBK" w:eastAsia="方正仿宋_GBK" w:cs="方正仿宋_GBK"/>
          <w:color w:val="auto"/>
          <w:kern w:val="2"/>
          <w:sz w:val="32"/>
          <w:szCs w:val="32"/>
          <w:highlight w:val="none"/>
          <w:lang w:bidi="ar"/>
        </w:rPr>
        <w:t>三年平均上网电价</w:t>
      </w:r>
      <w:r>
        <w:rPr>
          <w:rFonts w:hint="eastAsia" w:ascii="方正仿宋_GBK" w:hAnsi="方正仿宋_GBK" w:eastAsia="方正仿宋_GBK" w:cs="方正仿宋_GBK"/>
          <w:color w:val="auto"/>
          <w:kern w:val="2"/>
          <w:sz w:val="32"/>
          <w:szCs w:val="32"/>
          <w:highlight w:val="none"/>
          <w:lang w:eastAsia="zh-CN" w:bidi="ar"/>
        </w:rPr>
        <w:t>（不含可再生能源补贴）</w:t>
      </w:r>
      <w:r>
        <w:rPr>
          <w:rFonts w:hint="eastAsia" w:ascii="方正仿宋_GBK" w:hAnsi="方正仿宋_GBK" w:eastAsia="方正仿宋_GBK" w:cs="方正仿宋_GBK"/>
          <w:color w:val="auto"/>
          <w:kern w:val="2"/>
          <w:sz w:val="32"/>
          <w:szCs w:val="32"/>
          <w:highlight w:val="none"/>
          <w:lang w:val="en-US" w:eastAsia="zh-CN" w:bidi="ar"/>
        </w:rPr>
        <w:t>×调节系数</w:t>
      </w:r>
      <w:r>
        <w:rPr>
          <w:rFonts w:hint="eastAsia" w:ascii="方正仿宋_GBK" w:hAnsi="方正仿宋_GBK" w:eastAsia="方正仿宋_GBK" w:cs="方正仿宋_GBK"/>
          <w:color w:val="auto"/>
          <w:kern w:val="2"/>
          <w:sz w:val="32"/>
          <w:szCs w:val="32"/>
          <w:highlight w:val="none"/>
          <w:lang w:bidi="ar"/>
        </w:rPr>
        <w:t>，</w:t>
      </w:r>
      <w:r>
        <w:rPr>
          <w:rFonts w:hint="eastAsia" w:ascii="方正仿宋_GBK" w:hAnsi="方正仿宋_GBK" w:eastAsia="方正仿宋_GBK" w:cs="方正仿宋_GBK"/>
          <w:color w:val="auto"/>
          <w:kern w:val="2"/>
          <w:sz w:val="32"/>
          <w:szCs w:val="32"/>
          <w:highlight w:val="none"/>
          <w:lang w:eastAsia="zh-CN" w:bidi="ar"/>
        </w:rPr>
        <w:t>系数</w:t>
      </w:r>
      <w:r>
        <w:rPr>
          <w:rFonts w:hint="eastAsia" w:ascii="方正仿宋_GBK" w:hAnsi="方正仿宋_GBK" w:eastAsia="方正仿宋_GBK" w:cs="方正仿宋_GBK"/>
          <w:color w:val="auto"/>
          <w:kern w:val="2"/>
          <w:sz w:val="32"/>
          <w:szCs w:val="32"/>
          <w:highlight w:val="none"/>
          <w:lang w:bidi="ar"/>
        </w:rPr>
        <w:t>暂定为</w:t>
      </w:r>
      <w:r>
        <w:rPr>
          <w:rFonts w:hint="eastAsia" w:ascii="方正仿宋_GBK" w:hAnsi="方正仿宋_GBK" w:eastAsia="方正仿宋_GBK" w:cs="方正仿宋_GBK"/>
          <w:color w:val="auto"/>
          <w:kern w:val="2"/>
          <w:sz w:val="32"/>
          <w:szCs w:val="32"/>
          <w:highlight w:val="none"/>
          <w:lang w:val="en-US" w:eastAsia="zh-CN" w:bidi="ar"/>
        </w:rPr>
        <w:t>10</w:t>
      </w:r>
      <w:r>
        <w:rPr>
          <w:rFonts w:hint="eastAsia" w:ascii="方正仿宋_GBK" w:hAnsi="方正仿宋_GBK" w:eastAsia="方正仿宋_GBK" w:cs="方正仿宋_GBK"/>
          <w:color w:val="auto"/>
          <w:kern w:val="2"/>
          <w:sz w:val="32"/>
          <w:szCs w:val="32"/>
          <w:highlight w:val="none"/>
          <w:lang w:bidi="ar"/>
        </w:rPr>
        <w:t>%。</w:t>
      </w:r>
      <w:r>
        <w:rPr>
          <w:rFonts w:hint="eastAsia" w:ascii="方正仿宋_GBK" w:hAnsi="方正仿宋_GBK" w:eastAsia="方正仿宋_GBK" w:cs="方正仿宋_GBK"/>
          <w:color w:val="auto"/>
          <w:kern w:val="2"/>
          <w:sz w:val="32"/>
          <w:szCs w:val="32"/>
          <w:highlight w:val="none"/>
          <w:lang w:val="en-US" w:eastAsia="zh-CN" w:bidi="ar"/>
        </w:rPr>
        <w:t>保函金额四舍五入取整到元。</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color w:val="auto"/>
          <w:kern w:val="2"/>
          <w:sz w:val="32"/>
          <w:szCs w:val="32"/>
          <w:highlight w:val="none"/>
          <w:lang w:eastAsia="zh-CN" w:bidi="ar"/>
        </w:rPr>
        <w:t>履约</w:t>
      </w:r>
      <w:r>
        <w:rPr>
          <w:rFonts w:hint="eastAsia" w:ascii="方正仿宋_GBK" w:hAnsi="方正仿宋_GBK" w:eastAsia="方正仿宋_GBK" w:cs="方正仿宋_GBK"/>
          <w:color w:val="auto"/>
          <w:kern w:val="2"/>
          <w:sz w:val="32"/>
          <w:szCs w:val="32"/>
          <w:highlight w:val="none"/>
          <w:lang w:bidi="ar"/>
        </w:rPr>
        <w:t>保函的有效期</w:t>
      </w:r>
      <w:r>
        <w:rPr>
          <w:rFonts w:hint="eastAsia" w:ascii="方正仿宋_GBK" w:hAnsi="方正仿宋_GBK" w:eastAsia="方正仿宋_GBK" w:cs="方正仿宋_GBK"/>
          <w:color w:val="auto"/>
          <w:kern w:val="2"/>
          <w:sz w:val="32"/>
          <w:szCs w:val="32"/>
          <w:highlight w:val="none"/>
          <w:lang w:eastAsia="zh-CN" w:bidi="ar"/>
        </w:rPr>
        <w:t>为项目承诺的投产日期后</w:t>
      </w:r>
      <w:r>
        <w:rPr>
          <w:rFonts w:hint="eastAsia" w:ascii="方正仿宋_GBK" w:hAnsi="方正仿宋_GBK" w:eastAsia="方正仿宋_GBK" w:cs="方正仿宋_GBK"/>
          <w:color w:val="auto"/>
          <w:kern w:val="2"/>
          <w:sz w:val="32"/>
          <w:szCs w:val="32"/>
          <w:highlight w:val="none"/>
          <w:lang w:val="en-US" w:eastAsia="zh-CN" w:bidi="ar"/>
        </w:rPr>
        <w:t>一年</w:t>
      </w:r>
      <w:r>
        <w:rPr>
          <w:rFonts w:hint="eastAsia" w:ascii="方正仿宋_GBK" w:hAnsi="方正仿宋_GBK" w:eastAsia="方正仿宋_GBK" w:cs="方正仿宋_GBK"/>
          <w:color w:val="auto"/>
          <w:kern w:val="2"/>
          <w:sz w:val="32"/>
          <w:szCs w:val="32"/>
          <w:highlight w:val="none"/>
          <w:lang w:bidi="ar"/>
        </w:rPr>
        <w:t>。</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color w:val="auto"/>
          <w:kern w:val="2"/>
          <w:sz w:val="32"/>
          <w:szCs w:val="32"/>
          <w:highlight w:val="none"/>
          <w:lang w:bidi="ar"/>
        </w:rPr>
        <w:t>具备条件时，新能源项目可通过履约保证保险方式参与竞价。</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val="en-US" w:eastAsia="zh-CN" w:bidi="ar"/>
        </w:rPr>
        <w:t>二十八</w:t>
      </w:r>
      <w:r>
        <w:rPr>
          <w:rFonts w:hint="eastAsia" w:ascii="方正仿宋_GBK" w:hAnsi="方正仿宋_GBK" w:eastAsia="方正仿宋_GBK" w:cs="方正仿宋_GBK"/>
          <w:b/>
          <w:bCs/>
          <w:color w:val="auto"/>
          <w:kern w:val="0"/>
          <w:sz w:val="32"/>
          <w:szCs w:val="32"/>
          <w:highlight w:val="none"/>
          <w:lang w:bidi="ar"/>
        </w:rPr>
        <w:t>条 组织竞价。</w:t>
      </w:r>
      <w:r>
        <w:rPr>
          <w:rFonts w:hint="eastAsia" w:ascii="方正仿宋_GBK" w:hAnsi="方正仿宋_GBK" w:eastAsia="方正仿宋_GBK" w:cs="方正仿宋_GBK"/>
          <w:b w:val="0"/>
          <w:bCs w:val="0"/>
          <w:color w:val="auto"/>
          <w:kern w:val="2"/>
          <w:sz w:val="32"/>
          <w:szCs w:val="32"/>
          <w:highlight w:val="none"/>
          <w:lang w:val="en-US" w:eastAsia="zh-CN" w:bidi="ar"/>
        </w:rPr>
        <w:t>已提交履约保函的项目（含</w:t>
      </w:r>
      <w:r>
        <w:rPr>
          <w:rFonts w:hint="eastAsia" w:ascii="方正仿宋_GBK" w:hAnsi="方正仿宋_GBK" w:eastAsia="方正仿宋_GBK" w:cs="方正仿宋_GBK"/>
          <w:b w:val="0"/>
          <w:bCs w:val="0"/>
          <w:color w:val="auto"/>
          <w:kern w:val="2"/>
          <w:sz w:val="32"/>
          <w:szCs w:val="32"/>
          <w:highlight w:val="none"/>
          <w:lang w:eastAsia="zh-CN" w:bidi="ar"/>
        </w:rPr>
        <w:t>免交履约保函</w:t>
      </w:r>
      <w:r>
        <w:rPr>
          <w:rFonts w:hint="eastAsia" w:ascii="方正仿宋_GBK" w:hAnsi="方正仿宋_GBK" w:eastAsia="方正仿宋_GBK" w:cs="方正仿宋_GBK"/>
          <w:b w:val="0"/>
          <w:bCs w:val="0"/>
          <w:color w:val="auto"/>
          <w:kern w:val="2"/>
          <w:sz w:val="32"/>
          <w:szCs w:val="32"/>
          <w:highlight w:val="none"/>
          <w:lang w:val="en-US" w:eastAsia="zh-CN" w:bidi="ar"/>
        </w:rPr>
        <w:t>的新能源项目），应按照竞价公告明确的日期申报竞价电量和电价。</w:t>
      </w:r>
      <w:r>
        <w:rPr>
          <w:rFonts w:hint="eastAsia" w:ascii="方正仿宋_GBK" w:hAnsi="方正仿宋_GBK" w:eastAsia="方正仿宋_GBK" w:cs="方正仿宋_GBK"/>
          <w:color w:val="auto"/>
          <w:kern w:val="2"/>
          <w:sz w:val="32"/>
          <w:szCs w:val="32"/>
          <w:highlight w:val="none"/>
          <w:lang w:bidi="ar"/>
        </w:rPr>
        <w:t>竞价开始后</w:t>
      </w:r>
      <w:r>
        <w:rPr>
          <w:rFonts w:hint="eastAsia" w:ascii="方正仿宋_GBK" w:hAnsi="方正仿宋_GBK" w:eastAsia="方正仿宋_GBK" w:cs="方正仿宋_GBK"/>
          <w:b w:val="0"/>
          <w:bCs w:val="0"/>
          <w:color w:val="auto"/>
          <w:kern w:val="2"/>
          <w:sz w:val="32"/>
          <w:szCs w:val="32"/>
          <w:highlight w:val="none"/>
          <w:lang w:val="en-US" w:eastAsia="zh-CN" w:bidi="ar"/>
        </w:rPr>
        <w:t>竞价电量和电价将</w:t>
      </w:r>
      <w:r>
        <w:rPr>
          <w:rFonts w:hint="eastAsia" w:ascii="方正仿宋_GBK" w:hAnsi="方正仿宋_GBK" w:eastAsia="方正仿宋_GBK" w:cs="方正仿宋_GBK"/>
          <w:color w:val="auto"/>
          <w:kern w:val="2"/>
          <w:sz w:val="32"/>
          <w:szCs w:val="32"/>
          <w:highlight w:val="none"/>
          <w:lang w:bidi="ar"/>
        </w:rPr>
        <w:t>自动封存，不得更改。</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kern w:val="2"/>
          <w:sz w:val="32"/>
          <w:szCs w:val="32"/>
          <w:highlight w:val="none"/>
          <w:lang w:bidi="ar"/>
        </w:rPr>
        <w:t>竞价主体申报完成后，按照价格优先</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时间优先的</w:t>
      </w:r>
      <w:r>
        <w:rPr>
          <w:rFonts w:hint="eastAsia" w:ascii="方正仿宋_GBK" w:hAnsi="方正仿宋_GBK" w:eastAsia="方正仿宋_GBK" w:cs="方正仿宋_GBK"/>
          <w:color w:val="auto"/>
          <w:kern w:val="2"/>
          <w:sz w:val="32"/>
          <w:szCs w:val="32"/>
          <w:highlight w:val="none"/>
          <w:lang w:bidi="ar"/>
        </w:rPr>
        <w:t>原则当日内完成边际出清</w:t>
      </w:r>
      <w:r>
        <w:rPr>
          <w:rFonts w:hint="eastAsia" w:ascii="方正仿宋_GBK" w:hAnsi="方正仿宋_GBK" w:eastAsia="方正仿宋_GBK" w:cs="方正仿宋_GBK"/>
          <w:color w:val="auto"/>
          <w:sz w:val="32"/>
          <w:szCs w:val="32"/>
          <w:highlight w:val="none"/>
          <w:lang w:bidi="ar"/>
        </w:rPr>
        <w:t>。</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color w:val="auto"/>
          <w:kern w:val="2"/>
          <w:sz w:val="32"/>
          <w:szCs w:val="32"/>
          <w:highlight w:val="none"/>
          <w:lang w:bidi="ar"/>
        </w:rPr>
        <w:t>为确保竞争充分，机制电量申报总规模与核定总规模比率原则上不低于1.</w:t>
      </w:r>
      <w:r>
        <w:rPr>
          <w:rFonts w:hint="eastAsia" w:ascii="方正仿宋_GBK" w:hAnsi="方正仿宋_GBK" w:eastAsia="方正仿宋_GBK" w:cs="方正仿宋_GBK"/>
          <w:color w:val="auto"/>
          <w:kern w:val="2"/>
          <w:sz w:val="32"/>
          <w:szCs w:val="32"/>
          <w:highlight w:val="none"/>
          <w:lang w:val="en-US" w:eastAsia="zh-CN" w:bidi="ar"/>
        </w:rPr>
        <w:t>2</w:t>
      </w:r>
      <w:r>
        <w:rPr>
          <w:rFonts w:hint="eastAsia" w:ascii="方正仿宋_GBK" w:hAnsi="方正仿宋_GBK" w:eastAsia="方正仿宋_GBK" w:cs="方正仿宋_GBK"/>
          <w:color w:val="auto"/>
          <w:kern w:val="2"/>
          <w:sz w:val="32"/>
          <w:szCs w:val="32"/>
          <w:highlight w:val="none"/>
          <w:lang w:bidi="ar"/>
        </w:rPr>
        <w:t>，否则相应调减核定机制电量规模直至满足比率要求。</w:t>
      </w:r>
      <w:r>
        <w:rPr>
          <w:rFonts w:hint="eastAsia" w:ascii="方正仿宋_GBK" w:hAnsi="方正仿宋_GBK" w:eastAsia="方正仿宋_GBK" w:cs="方正仿宋_GBK"/>
          <w:color w:val="auto"/>
          <w:kern w:val="2"/>
          <w:sz w:val="32"/>
          <w:szCs w:val="32"/>
          <w:highlight w:val="none"/>
          <w:lang w:val="en-US" w:eastAsia="zh-CN" w:bidi="ar"/>
        </w:rPr>
        <w:t>比率取值根据新能源发展情况适时调整。</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val="en-US" w:eastAsia="zh-CN" w:bidi="ar"/>
        </w:rPr>
        <w:t>二十九</w:t>
      </w:r>
      <w:r>
        <w:rPr>
          <w:rFonts w:hint="eastAsia" w:ascii="方正仿宋_GBK" w:hAnsi="方正仿宋_GBK" w:eastAsia="方正仿宋_GBK" w:cs="方正仿宋_GBK"/>
          <w:b/>
          <w:bCs/>
          <w:color w:val="auto"/>
          <w:kern w:val="0"/>
          <w:sz w:val="32"/>
          <w:szCs w:val="32"/>
          <w:highlight w:val="none"/>
          <w:lang w:bidi="ar"/>
        </w:rPr>
        <w:t>条 结果</w:t>
      </w:r>
      <w:r>
        <w:rPr>
          <w:rFonts w:hint="eastAsia" w:ascii="方正仿宋_GBK" w:hAnsi="方正仿宋_GBK" w:eastAsia="方正仿宋_GBK" w:cs="方正仿宋_GBK"/>
          <w:b/>
          <w:bCs/>
          <w:color w:val="auto"/>
          <w:kern w:val="0"/>
          <w:sz w:val="32"/>
          <w:szCs w:val="32"/>
          <w:highlight w:val="none"/>
          <w:lang w:val="en-US" w:eastAsia="zh-CN" w:bidi="ar"/>
        </w:rPr>
        <w:t>公示</w:t>
      </w:r>
      <w:r>
        <w:rPr>
          <w:rFonts w:hint="eastAsia" w:ascii="方正仿宋_GBK" w:hAnsi="方正仿宋_GBK" w:eastAsia="方正仿宋_GBK" w:cs="方正仿宋_GBK"/>
          <w:b/>
          <w:bCs/>
          <w:color w:val="auto"/>
          <w:kern w:val="0"/>
          <w:sz w:val="32"/>
          <w:szCs w:val="32"/>
          <w:highlight w:val="none"/>
          <w:lang w:bidi="ar"/>
        </w:rPr>
        <w:t>。</w:t>
      </w:r>
      <w:r>
        <w:rPr>
          <w:rFonts w:hint="eastAsia" w:ascii="方正仿宋_GBK" w:hAnsi="方正仿宋_GBK" w:eastAsia="方正仿宋_GBK" w:cs="方正仿宋_GBK"/>
          <w:color w:val="auto"/>
          <w:kern w:val="2"/>
          <w:sz w:val="32"/>
          <w:szCs w:val="32"/>
          <w:highlight w:val="none"/>
          <w:lang w:val="en-US" w:eastAsia="zh-CN" w:bidi="ar"/>
        </w:rPr>
        <w:t>省电力公司</w:t>
      </w:r>
      <w:r>
        <w:rPr>
          <w:rFonts w:hint="eastAsia" w:ascii="方正仿宋_GBK" w:hAnsi="方正仿宋_GBK" w:eastAsia="方正仿宋_GBK" w:cs="方正仿宋_GBK"/>
          <w:color w:val="auto"/>
          <w:kern w:val="2"/>
          <w:sz w:val="32"/>
          <w:szCs w:val="32"/>
          <w:highlight w:val="none"/>
          <w:lang w:bidi="ar"/>
        </w:rPr>
        <w:t>按照出清结果</w:t>
      </w:r>
      <w:r>
        <w:rPr>
          <w:rFonts w:hint="eastAsia" w:ascii="方正仿宋_GBK" w:hAnsi="方正仿宋_GBK" w:eastAsia="方正仿宋_GBK" w:cs="方正仿宋_GBK"/>
          <w:color w:val="auto"/>
          <w:kern w:val="2"/>
          <w:sz w:val="32"/>
          <w:szCs w:val="32"/>
          <w:highlight w:val="none"/>
          <w:lang w:val="en-US" w:eastAsia="zh-CN" w:bidi="ar"/>
        </w:rPr>
        <w:t>公示</w:t>
      </w:r>
      <w:r>
        <w:rPr>
          <w:rFonts w:hint="eastAsia" w:ascii="方正仿宋_GBK" w:hAnsi="方正仿宋_GBK" w:eastAsia="方正仿宋_GBK" w:cs="方正仿宋_GBK"/>
          <w:color w:val="auto"/>
          <w:kern w:val="2"/>
          <w:sz w:val="32"/>
          <w:szCs w:val="32"/>
          <w:highlight w:val="none"/>
          <w:lang w:bidi="ar"/>
        </w:rPr>
        <w:t>拟</w:t>
      </w:r>
      <w:r>
        <w:rPr>
          <w:rFonts w:hint="eastAsia" w:ascii="方正仿宋_GBK" w:hAnsi="方正仿宋_GBK" w:eastAsia="方正仿宋_GBK" w:cs="方正仿宋_GBK"/>
          <w:color w:val="auto"/>
          <w:kern w:val="2"/>
          <w:sz w:val="32"/>
          <w:szCs w:val="32"/>
          <w:highlight w:val="none"/>
          <w:lang w:val="en-US" w:eastAsia="zh-CN" w:bidi="ar"/>
        </w:rPr>
        <w:t>入选</w:t>
      </w:r>
      <w:r>
        <w:rPr>
          <w:rFonts w:hint="eastAsia" w:ascii="方正仿宋_GBK" w:hAnsi="方正仿宋_GBK" w:eastAsia="方正仿宋_GBK" w:cs="方正仿宋_GBK"/>
          <w:color w:val="auto"/>
          <w:kern w:val="2"/>
          <w:sz w:val="32"/>
          <w:szCs w:val="32"/>
          <w:highlight w:val="none"/>
          <w:lang w:bidi="ar"/>
        </w:rPr>
        <w:t>项目</w:t>
      </w:r>
      <w:r>
        <w:rPr>
          <w:rFonts w:hint="eastAsia" w:ascii="方正仿宋_GBK" w:hAnsi="方正仿宋_GBK" w:eastAsia="方正仿宋_GBK" w:cs="方正仿宋_GBK"/>
          <w:color w:val="auto"/>
          <w:kern w:val="2"/>
          <w:sz w:val="32"/>
          <w:szCs w:val="32"/>
          <w:highlight w:val="none"/>
          <w:lang w:val="en-US" w:eastAsia="zh-CN" w:bidi="ar"/>
        </w:rPr>
        <w:t>名单</w:t>
      </w:r>
      <w:r>
        <w:rPr>
          <w:rFonts w:hint="eastAsia" w:ascii="方正仿宋_GBK" w:hAnsi="方正仿宋_GBK" w:eastAsia="方正仿宋_GBK" w:cs="方正仿宋_GBK"/>
          <w:color w:val="auto"/>
          <w:kern w:val="2"/>
          <w:sz w:val="32"/>
          <w:szCs w:val="32"/>
          <w:highlight w:val="none"/>
          <w:lang w:bidi="ar"/>
        </w:rPr>
        <w:t>，公示期</w:t>
      </w:r>
      <w:r>
        <w:rPr>
          <w:rFonts w:hint="eastAsia" w:ascii="方正仿宋_GBK" w:hAnsi="方正仿宋_GBK" w:eastAsia="方正仿宋_GBK" w:cs="方正仿宋_GBK"/>
          <w:color w:val="auto"/>
          <w:kern w:val="2"/>
          <w:sz w:val="32"/>
          <w:szCs w:val="32"/>
          <w:highlight w:val="none"/>
          <w:lang w:val="en-US" w:eastAsia="zh-CN" w:bidi="ar"/>
        </w:rPr>
        <w:t>为</w:t>
      </w:r>
      <w:r>
        <w:rPr>
          <w:rFonts w:hint="eastAsia" w:ascii="方正仿宋_GBK" w:hAnsi="方正仿宋_GBK" w:eastAsia="方正仿宋_GBK" w:cs="方正仿宋_GBK"/>
          <w:color w:val="auto"/>
          <w:kern w:val="2"/>
          <w:sz w:val="32"/>
          <w:szCs w:val="32"/>
          <w:highlight w:val="none"/>
          <w:lang w:bidi="ar"/>
        </w:rPr>
        <w:t>3个工作日。单个项目参与竞价的，公示信息包括项目名称、</w:t>
      </w:r>
      <w:r>
        <w:rPr>
          <w:rFonts w:hint="eastAsia" w:ascii="方正仿宋_GBK" w:hAnsi="方正仿宋_GBK" w:eastAsia="方正仿宋_GBK" w:cs="方正仿宋_GBK"/>
          <w:color w:val="auto"/>
          <w:kern w:val="2"/>
          <w:sz w:val="32"/>
          <w:szCs w:val="32"/>
          <w:highlight w:val="none"/>
          <w:lang w:val="en-US" w:eastAsia="zh-CN" w:bidi="ar"/>
        </w:rPr>
        <w:t>项目主体、</w:t>
      </w:r>
      <w:r>
        <w:rPr>
          <w:rFonts w:hint="eastAsia" w:ascii="方正仿宋_GBK" w:hAnsi="方正仿宋_GBK" w:eastAsia="方正仿宋_GBK" w:cs="方正仿宋_GBK"/>
          <w:color w:val="auto"/>
          <w:kern w:val="2"/>
          <w:sz w:val="32"/>
          <w:szCs w:val="32"/>
          <w:highlight w:val="none"/>
          <w:lang w:bidi="ar"/>
        </w:rPr>
        <w:t>项目类型、</w:t>
      </w:r>
      <w:r>
        <w:rPr>
          <w:rFonts w:hint="eastAsia" w:ascii="方正仿宋_GBK" w:hAnsi="方正仿宋_GBK" w:eastAsia="方正仿宋_GBK" w:cs="方正仿宋_GBK"/>
          <w:color w:val="auto"/>
          <w:kern w:val="2"/>
          <w:sz w:val="32"/>
          <w:szCs w:val="32"/>
          <w:highlight w:val="none"/>
          <w:lang w:val="en-US" w:eastAsia="zh-CN" w:bidi="ar"/>
        </w:rPr>
        <w:t>入选</w:t>
      </w:r>
      <w:r>
        <w:rPr>
          <w:rFonts w:hint="eastAsia" w:ascii="方正仿宋_GBK" w:hAnsi="方正仿宋_GBK" w:eastAsia="方正仿宋_GBK" w:cs="方正仿宋_GBK"/>
          <w:color w:val="auto"/>
          <w:kern w:val="2"/>
          <w:sz w:val="32"/>
          <w:szCs w:val="32"/>
          <w:highlight w:val="none"/>
          <w:lang w:bidi="ar"/>
        </w:rPr>
        <w:t>电量、机制电价</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申报投产时间</w:t>
      </w:r>
      <w:r>
        <w:rPr>
          <w:rFonts w:hint="eastAsia" w:ascii="方正仿宋_GBK" w:hAnsi="方正仿宋_GBK" w:eastAsia="方正仿宋_GBK" w:cs="方正仿宋_GBK"/>
          <w:color w:val="auto"/>
          <w:kern w:val="2"/>
          <w:sz w:val="32"/>
          <w:szCs w:val="32"/>
          <w:highlight w:val="none"/>
          <w:lang w:bidi="ar"/>
        </w:rPr>
        <w:t>。聚合后统一参与竞价的，公示信息包括聚合</w:t>
      </w:r>
      <w:r>
        <w:rPr>
          <w:rFonts w:hint="eastAsia" w:ascii="方正仿宋_GBK" w:hAnsi="方正仿宋_GBK" w:eastAsia="方正仿宋_GBK" w:cs="方正仿宋_GBK"/>
          <w:color w:val="auto"/>
          <w:kern w:val="2"/>
          <w:sz w:val="32"/>
          <w:szCs w:val="32"/>
          <w:highlight w:val="none"/>
          <w:lang w:val="en-US" w:eastAsia="zh-CN" w:bidi="ar"/>
        </w:rPr>
        <w:t>商</w:t>
      </w:r>
      <w:r>
        <w:rPr>
          <w:rFonts w:hint="eastAsia" w:ascii="方正仿宋_GBK" w:hAnsi="方正仿宋_GBK" w:eastAsia="方正仿宋_GBK" w:cs="方正仿宋_GBK"/>
          <w:color w:val="auto"/>
          <w:kern w:val="2"/>
          <w:sz w:val="32"/>
          <w:szCs w:val="32"/>
          <w:highlight w:val="none"/>
          <w:lang w:bidi="ar"/>
        </w:rPr>
        <w:t>名称、</w:t>
      </w:r>
      <w:r>
        <w:rPr>
          <w:rFonts w:hint="eastAsia" w:ascii="方正仿宋_GBK" w:hAnsi="方正仿宋_GBK" w:eastAsia="方正仿宋_GBK" w:cs="方正仿宋_GBK"/>
          <w:color w:val="auto"/>
          <w:kern w:val="2"/>
          <w:sz w:val="32"/>
          <w:szCs w:val="32"/>
          <w:highlight w:val="none"/>
          <w:lang w:val="en-US" w:eastAsia="zh-CN" w:bidi="ar"/>
        </w:rPr>
        <w:t>入选</w:t>
      </w:r>
      <w:r>
        <w:rPr>
          <w:rFonts w:hint="eastAsia" w:ascii="方正仿宋_GBK" w:hAnsi="方正仿宋_GBK" w:eastAsia="方正仿宋_GBK" w:cs="方正仿宋_GBK"/>
          <w:color w:val="auto"/>
          <w:kern w:val="2"/>
          <w:sz w:val="32"/>
          <w:szCs w:val="32"/>
          <w:highlight w:val="none"/>
          <w:lang w:bidi="ar"/>
        </w:rPr>
        <w:t>总电量、代理项目名称、代理项目类型、代理项目</w:t>
      </w:r>
      <w:r>
        <w:rPr>
          <w:rFonts w:hint="eastAsia" w:ascii="方正仿宋_GBK" w:hAnsi="方正仿宋_GBK" w:eastAsia="方正仿宋_GBK" w:cs="方正仿宋_GBK"/>
          <w:color w:val="auto"/>
          <w:kern w:val="2"/>
          <w:sz w:val="32"/>
          <w:szCs w:val="32"/>
          <w:highlight w:val="none"/>
          <w:lang w:val="en-US" w:eastAsia="zh-CN" w:bidi="ar"/>
        </w:rPr>
        <w:t>入选</w:t>
      </w:r>
      <w:r>
        <w:rPr>
          <w:rFonts w:hint="eastAsia" w:ascii="方正仿宋_GBK" w:hAnsi="方正仿宋_GBK" w:eastAsia="方正仿宋_GBK" w:cs="方正仿宋_GBK"/>
          <w:color w:val="auto"/>
          <w:kern w:val="2"/>
          <w:sz w:val="32"/>
          <w:szCs w:val="32"/>
          <w:highlight w:val="none"/>
          <w:lang w:bidi="ar"/>
        </w:rPr>
        <w:t>电量、机制电价</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代理项目</w:t>
      </w:r>
      <w:r>
        <w:rPr>
          <w:rFonts w:hint="eastAsia" w:ascii="方正仿宋_GBK" w:hAnsi="方正仿宋_GBK" w:eastAsia="方正仿宋_GBK" w:cs="方正仿宋_GBK"/>
          <w:color w:val="auto"/>
          <w:kern w:val="2"/>
          <w:sz w:val="32"/>
          <w:szCs w:val="32"/>
          <w:highlight w:val="none"/>
          <w:lang w:val="en-US" w:eastAsia="zh-CN" w:bidi="ar"/>
        </w:rPr>
        <w:t>申报投产时间</w:t>
      </w:r>
      <w:r>
        <w:rPr>
          <w:rFonts w:hint="eastAsia" w:ascii="方正仿宋_GBK" w:hAnsi="方正仿宋_GBK" w:eastAsia="方正仿宋_GBK" w:cs="方正仿宋_GBK"/>
          <w:color w:val="auto"/>
          <w:kern w:val="2"/>
          <w:sz w:val="32"/>
          <w:szCs w:val="32"/>
          <w:highlight w:val="none"/>
          <w:lang w:bidi="ar"/>
        </w:rPr>
        <w:t>。如竞价主体对公示结果有异议，须在公示期内以书面形式</w:t>
      </w:r>
      <w:r>
        <w:rPr>
          <w:rFonts w:hint="eastAsia" w:ascii="方正仿宋_GBK" w:hAnsi="方正仿宋_GBK" w:eastAsia="方正仿宋_GBK" w:cs="方正仿宋_GBK"/>
          <w:color w:val="auto"/>
          <w:kern w:val="2"/>
          <w:sz w:val="32"/>
          <w:szCs w:val="32"/>
          <w:highlight w:val="none"/>
          <w:lang w:val="en-US" w:eastAsia="zh-CN" w:bidi="ar"/>
        </w:rPr>
        <w:t>向省电力公司</w:t>
      </w:r>
      <w:r>
        <w:rPr>
          <w:rFonts w:hint="eastAsia" w:ascii="方正仿宋_GBK" w:hAnsi="方正仿宋_GBK" w:eastAsia="方正仿宋_GBK" w:cs="方正仿宋_GBK"/>
          <w:color w:val="auto"/>
          <w:kern w:val="2"/>
          <w:sz w:val="32"/>
          <w:szCs w:val="32"/>
          <w:highlight w:val="none"/>
          <w:lang w:bidi="ar"/>
        </w:rPr>
        <w:t>提出，并提供相关</w:t>
      </w:r>
      <w:r>
        <w:rPr>
          <w:rFonts w:hint="eastAsia" w:ascii="方正仿宋_GBK" w:hAnsi="方正仿宋_GBK" w:eastAsia="方正仿宋_GBK" w:cs="方正仿宋_GBK"/>
          <w:color w:val="auto"/>
          <w:kern w:val="2"/>
          <w:sz w:val="32"/>
          <w:szCs w:val="32"/>
          <w:highlight w:val="none"/>
          <w:lang w:val="en-US" w:eastAsia="zh-CN" w:bidi="ar"/>
        </w:rPr>
        <w:t>印证</w:t>
      </w:r>
      <w:r>
        <w:rPr>
          <w:rFonts w:hint="eastAsia" w:ascii="方正仿宋_GBK" w:hAnsi="方正仿宋_GBK" w:eastAsia="方正仿宋_GBK" w:cs="方正仿宋_GBK"/>
          <w:color w:val="auto"/>
          <w:kern w:val="2"/>
          <w:sz w:val="32"/>
          <w:szCs w:val="32"/>
          <w:highlight w:val="none"/>
          <w:lang w:bidi="ar"/>
        </w:rPr>
        <w:t>材料。公示期内未提出异议的，视为认可竞价结果。</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val="en-US" w:eastAsia="zh-CN" w:bidi="ar"/>
        </w:rPr>
        <w:t>三十</w:t>
      </w:r>
      <w:r>
        <w:rPr>
          <w:rFonts w:hint="eastAsia" w:ascii="方正仿宋_GBK" w:hAnsi="方正仿宋_GBK" w:eastAsia="方正仿宋_GBK" w:cs="方正仿宋_GBK"/>
          <w:b/>
          <w:bCs/>
          <w:color w:val="auto"/>
          <w:kern w:val="0"/>
          <w:sz w:val="32"/>
          <w:szCs w:val="32"/>
          <w:highlight w:val="none"/>
          <w:lang w:bidi="ar"/>
        </w:rPr>
        <w:t>条 结果</w:t>
      </w:r>
      <w:r>
        <w:rPr>
          <w:rFonts w:hint="eastAsia" w:ascii="方正仿宋_GBK" w:hAnsi="方正仿宋_GBK" w:eastAsia="方正仿宋_GBK" w:cs="方正仿宋_GBK"/>
          <w:b/>
          <w:bCs/>
          <w:color w:val="auto"/>
          <w:kern w:val="0"/>
          <w:sz w:val="32"/>
          <w:szCs w:val="32"/>
          <w:highlight w:val="none"/>
          <w:lang w:val="en-US" w:eastAsia="zh-CN" w:bidi="ar"/>
        </w:rPr>
        <w:t>公布</w:t>
      </w:r>
      <w:r>
        <w:rPr>
          <w:rFonts w:hint="eastAsia" w:ascii="方正仿宋_GBK" w:hAnsi="方正仿宋_GBK" w:eastAsia="方正仿宋_GBK" w:cs="方正仿宋_GBK"/>
          <w:b/>
          <w:bCs/>
          <w:color w:val="auto"/>
          <w:kern w:val="0"/>
          <w:sz w:val="32"/>
          <w:szCs w:val="32"/>
          <w:highlight w:val="none"/>
          <w:lang w:bidi="ar"/>
        </w:rPr>
        <w:t>。</w:t>
      </w:r>
      <w:r>
        <w:rPr>
          <w:rFonts w:hint="eastAsia" w:ascii="方正仿宋_GBK" w:hAnsi="方正仿宋_GBK" w:eastAsia="方正仿宋_GBK" w:cs="方正仿宋_GBK"/>
          <w:color w:val="auto"/>
          <w:kern w:val="2"/>
          <w:sz w:val="32"/>
          <w:szCs w:val="32"/>
          <w:highlight w:val="none"/>
          <w:lang w:bidi="ar"/>
        </w:rPr>
        <w:t>公示期结束无异议</w:t>
      </w:r>
      <w:r>
        <w:rPr>
          <w:rFonts w:hint="eastAsia" w:ascii="方正仿宋_GBK" w:hAnsi="方正仿宋_GBK" w:eastAsia="方正仿宋_GBK" w:cs="方正仿宋_GBK"/>
          <w:color w:val="auto"/>
          <w:kern w:val="2"/>
          <w:sz w:val="32"/>
          <w:szCs w:val="32"/>
          <w:highlight w:val="none"/>
          <w:lang w:val="en-US" w:eastAsia="zh-CN" w:bidi="ar"/>
        </w:rPr>
        <w:t>的</w:t>
      </w:r>
      <w:r>
        <w:rPr>
          <w:rFonts w:hint="eastAsia" w:ascii="方正仿宋_GBK" w:hAnsi="方正仿宋_GBK" w:eastAsia="方正仿宋_GBK" w:cs="方正仿宋_GBK"/>
          <w:color w:val="auto"/>
          <w:kern w:val="2"/>
          <w:sz w:val="32"/>
          <w:szCs w:val="32"/>
          <w:highlight w:val="none"/>
          <w:lang w:bidi="ar"/>
        </w:rPr>
        <w:t>，</w:t>
      </w:r>
      <w:r>
        <w:rPr>
          <w:rFonts w:hint="eastAsia" w:ascii="方正仿宋_GBK" w:hAnsi="方正仿宋_GBK" w:eastAsia="方正仿宋_GBK" w:cs="方正仿宋_GBK"/>
          <w:color w:val="auto"/>
          <w:kern w:val="2"/>
          <w:sz w:val="32"/>
          <w:szCs w:val="32"/>
          <w:highlight w:val="none"/>
          <w:lang w:val="en-US" w:eastAsia="zh-CN" w:bidi="ar"/>
        </w:rPr>
        <w:t>省电力公司</w:t>
      </w:r>
      <w:r>
        <w:rPr>
          <w:rFonts w:hint="eastAsia" w:ascii="方正仿宋_GBK" w:hAnsi="方正仿宋_GBK" w:eastAsia="方正仿宋_GBK" w:cs="方正仿宋_GBK"/>
          <w:color w:val="auto"/>
          <w:kern w:val="2"/>
          <w:sz w:val="32"/>
          <w:szCs w:val="32"/>
          <w:highlight w:val="none"/>
          <w:lang w:bidi="ar"/>
        </w:rPr>
        <w:t>报请省发展改革委</w:t>
      </w:r>
      <w:r>
        <w:rPr>
          <w:rFonts w:hint="eastAsia" w:ascii="方正仿宋_GBK" w:hAnsi="方正仿宋_GBK" w:eastAsia="方正仿宋_GBK" w:cs="方正仿宋_GBK"/>
          <w:color w:val="auto"/>
          <w:kern w:val="2"/>
          <w:sz w:val="32"/>
          <w:szCs w:val="32"/>
          <w:highlight w:val="none"/>
          <w:lang w:eastAsia="zh-CN" w:bidi="ar"/>
        </w:rPr>
        <w:t>、省能源局</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eastAsia="zh-CN"/>
        </w:rPr>
        <w:t>山西能源监管办</w:t>
      </w:r>
      <w:r>
        <w:rPr>
          <w:rFonts w:hint="eastAsia" w:ascii="方正仿宋_GBK" w:hAnsi="方正仿宋_GBK" w:eastAsia="方正仿宋_GBK" w:cs="方正仿宋_GBK"/>
          <w:color w:val="auto"/>
          <w:kern w:val="2"/>
          <w:sz w:val="32"/>
          <w:szCs w:val="32"/>
          <w:highlight w:val="none"/>
          <w:lang w:bidi="ar"/>
        </w:rPr>
        <w:t>审定</w:t>
      </w:r>
      <w:r>
        <w:rPr>
          <w:rFonts w:hint="eastAsia" w:ascii="方正仿宋_GBK" w:hAnsi="方正仿宋_GBK" w:eastAsia="方正仿宋_GBK" w:cs="方正仿宋_GBK"/>
          <w:color w:val="auto"/>
          <w:kern w:val="2"/>
          <w:sz w:val="32"/>
          <w:szCs w:val="32"/>
          <w:highlight w:val="none"/>
          <w:lang w:val="en-US" w:eastAsia="zh-CN" w:bidi="ar"/>
        </w:rPr>
        <w:t>并</w:t>
      </w:r>
      <w:r>
        <w:rPr>
          <w:rFonts w:hint="eastAsia" w:ascii="方正仿宋_GBK" w:hAnsi="方正仿宋_GBK" w:eastAsia="方正仿宋_GBK" w:cs="方正仿宋_GBK"/>
          <w:color w:val="auto"/>
          <w:kern w:val="2"/>
          <w:sz w:val="32"/>
          <w:szCs w:val="32"/>
          <w:highlight w:val="none"/>
          <w:lang w:bidi="ar"/>
        </w:rPr>
        <w:t>发布竞价结果。</w:t>
      </w:r>
      <w:r>
        <w:rPr>
          <w:rFonts w:hint="eastAsia" w:ascii="方正仿宋_GBK" w:hAnsi="方正仿宋_GBK" w:eastAsia="方正仿宋_GBK" w:cs="方正仿宋_GBK"/>
          <w:color w:val="auto"/>
          <w:kern w:val="2"/>
          <w:sz w:val="32"/>
          <w:szCs w:val="32"/>
          <w:highlight w:val="none"/>
          <w:lang w:eastAsia="zh-CN" w:bidi="ar"/>
        </w:rPr>
        <w:t>当次竞价未</w:t>
      </w:r>
      <w:r>
        <w:rPr>
          <w:rFonts w:hint="eastAsia" w:ascii="方正仿宋_GBK" w:hAnsi="方正仿宋_GBK" w:eastAsia="方正仿宋_GBK" w:cs="方正仿宋_GBK"/>
          <w:color w:val="auto"/>
          <w:kern w:val="2"/>
          <w:sz w:val="32"/>
          <w:szCs w:val="32"/>
          <w:highlight w:val="none"/>
          <w:lang w:val="en-US" w:eastAsia="zh-CN" w:bidi="ar"/>
        </w:rPr>
        <w:t>入选</w:t>
      </w:r>
      <w:r>
        <w:rPr>
          <w:rFonts w:hint="eastAsia" w:ascii="方正仿宋_GBK" w:hAnsi="方正仿宋_GBK" w:eastAsia="方正仿宋_GBK" w:cs="方正仿宋_GBK"/>
          <w:color w:val="auto"/>
          <w:kern w:val="2"/>
          <w:sz w:val="32"/>
          <w:szCs w:val="32"/>
          <w:highlight w:val="none"/>
          <w:lang w:eastAsia="zh-CN" w:bidi="ar"/>
        </w:rPr>
        <w:t>项目可继续参与后续竞价。</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eastAsia="zh-CN" w:bidi="ar"/>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val="en-US" w:eastAsia="zh-CN" w:bidi="ar"/>
        </w:rPr>
        <w:t>三十一</w:t>
      </w:r>
      <w:r>
        <w:rPr>
          <w:rFonts w:hint="eastAsia" w:ascii="方正仿宋_GBK" w:hAnsi="方正仿宋_GBK" w:eastAsia="方正仿宋_GBK" w:cs="方正仿宋_GBK"/>
          <w:b/>
          <w:bCs/>
          <w:color w:val="auto"/>
          <w:kern w:val="0"/>
          <w:sz w:val="32"/>
          <w:szCs w:val="32"/>
          <w:highlight w:val="none"/>
          <w:lang w:bidi="ar"/>
        </w:rPr>
        <w:t>条 签订协议。</w:t>
      </w:r>
      <w:r>
        <w:rPr>
          <w:rFonts w:hint="eastAsia" w:ascii="方正仿宋_GBK" w:hAnsi="方正仿宋_GBK" w:eastAsia="方正仿宋_GBK" w:cs="方正仿宋_GBK"/>
          <w:color w:val="auto"/>
          <w:kern w:val="2"/>
          <w:sz w:val="32"/>
          <w:szCs w:val="32"/>
          <w:highlight w:val="none"/>
          <w:lang w:bidi="ar"/>
        </w:rPr>
        <w:t>竞价结果公布1个月内（截止时间应在12月31日前）</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val="en-US" w:eastAsia="zh-CN" w:bidi="ar"/>
        </w:rPr>
        <w:t>电网企业</w:t>
      </w:r>
      <w:r>
        <w:rPr>
          <w:rFonts w:hint="eastAsia" w:ascii="方正仿宋_GBK" w:hAnsi="方正仿宋_GBK" w:eastAsia="方正仿宋_GBK" w:cs="方正仿宋_GBK"/>
          <w:color w:val="auto"/>
          <w:kern w:val="2"/>
          <w:sz w:val="32"/>
          <w:szCs w:val="32"/>
          <w:highlight w:val="none"/>
          <w:lang w:bidi="ar"/>
        </w:rPr>
        <w:t>与</w:t>
      </w:r>
      <w:r>
        <w:rPr>
          <w:rFonts w:hint="eastAsia" w:ascii="方正仿宋_GBK" w:hAnsi="方正仿宋_GBK" w:eastAsia="方正仿宋_GBK" w:cs="方正仿宋_GBK"/>
          <w:color w:val="auto"/>
          <w:kern w:val="2"/>
          <w:sz w:val="32"/>
          <w:szCs w:val="32"/>
          <w:highlight w:val="none"/>
          <w:lang w:val="en-US" w:eastAsia="zh-CN" w:bidi="ar"/>
        </w:rPr>
        <w:t>入选</w:t>
      </w:r>
      <w:r>
        <w:rPr>
          <w:rFonts w:hint="eastAsia" w:ascii="方正仿宋_GBK" w:hAnsi="方正仿宋_GBK" w:eastAsia="方正仿宋_GBK" w:cs="方正仿宋_GBK"/>
          <w:color w:val="auto"/>
          <w:kern w:val="2"/>
          <w:sz w:val="32"/>
          <w:szCs w:val="32"/>
          <w:highlight w:val="none"/>
          <w:lang w:bidi="ar"/>
        </w:rPr>
        <w:t>项目签订</w:t>
      </w:r>
      <w:r>
        <w:rPr>
          <w:rFonts w:hint="eastAsia" w:ascii="方正仿宋_GBK" w:hAnsi="方正仿宋_GBK" w:eastAsia="方正仿宋_GBK" w:cs="方正仿宋_GBK"/>
          <w:color w:val="auto"/>
          <w:kern w:val="2"/>
          <w:sz w:val="32"/>
          <w:szCs w:val="32"/>
          <w:highlight w:val="none"/>
          <w:lang w:eastAsia="zh-CN" w:bidi="ar"/>
        </w:rPr>
        <w:t>新能源可持续发展价格结算机制差价协议（</w:t>
      </w:r>
      <w:r>
        <w:rPr>
          <w:rFonts w:hint="eastAsia" w:ascii="方正仿宋_GBK" w:hAnsi="方正仿宋_GBK" w:eastAsia="方正仿宋_GBK" w:cs="方正仿宋_GBK"/>
          <w:color w:val="auto"/>
          <w:kern w:val="2"/>
          <w:sz w:val="32"/>
          <w:szCs w:val="32"/>
          <w:highlight w:val="none"/>
          <w:lang w:val="en-US" w:eastAsia="zh-CN" w:bidi="ar"/>
        </w:rPr>
        <w:t>简称“</w:t>
      </w:r>
      <w:r>
        <w:rPr>
          <w:rFonts w:hint="eastAsia" w:ascii="方正仿宋_GBK" w:hAnsi="方正仿宋_GBK" w:eastAsia="方正仿宋_GBK" w:cs="方正仿宋_GBK"/>
          <w:color w:val="auto"/>
          <w:kern w:val="2"/>
          <w:sz w:val="32"/>
          <w:szCs w:val="32"/>
          <w:highlight w:val="none"/>
          <w:lang w:bidi="ar"/>
        </w:rPr>
        <w:t>差价</w:t>
      </w:r>
      <w:r>
        <w:rPr>
          <w:rFonts w:hint="eastAsia" w:ascii="方正仿宋_GBK" w:hAnsi="方正仿宋_GBK" w:eastAsia="方正仿宋_GBK" w:cs="方正仿宋_GBK"/>
          <w:color w:val="auto"/>
          <w:kern w:val="2"/>
          <w:sz w:val="32"/>
          <w:szCs w:val="32"/>
          <w:highlight w:val="none"/>
          <w:lang w:val="en-US" w:eastAsia="zh-CN" w:bidi="ar"/>
        </w:rPr>
        <w:t>结算</w:t>
      </w:r>
      <w:r>
        <w:rPr>
          <w:rFonts w:hint="eastAsia" w:ascii="方正仿宋_GBK" w:hAnsi="方正仿宋_GBK" w:eastAsia="方正仿宋_GBK" w:cs="方正仿宋_GBK"/>
          <w:color w:val="auto"/>
          <w:kern w:val="2"/>
          <w:sz w:val="32"/>
          <w:szCs w:val="32"/>
          <w:highlight w:val="none"/>
          <w:lang w:bidi="ar"/>
        </w:rPr>
        <w:t>协议</w:t>
      </w:r>
      <w:r>
        <w:rPr>
          <w:rFonts w:hint="eastAsia" w:ascii="方正仿宋_GBK" w:hAnsi="方正仿宋_GBK" w:eastAsia="方正仿宋_GBK" w:cs="方正仿宋_GBK"/>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eastAsia="zh-CN" w:bidi="ar"/>
        </w:rPr>
        <w:t>）</w:t>
      </w:r>
      <w:r>
        <w:rPr>
          <w:rFonts w:hint="eastAsia" w:ascii="方正仿宋_GBK" w:hAnsi="方正仿宋_GBK" w:eastAsia="方正仿宋_GBK" w:cs="方正仿宋_GBK"/>
          <w:color w:val="auto"/>
          <w:kern w:val="2"/>
          <w:sz w:val="32"/>
          <w:szCs w:val="32"/>
          <w:highlight w:val="none"/>
          <w:lang w:bidi="ar"/>
        </w:rPr>
        <w:t>。差价</w:t>
      </w:r>
      <w:r>
        <w:rPr>
          <w:rFonts w:hint="eastAsia" w:ascii="方正仿宋_GBK" w:hAnsi="方正仿宋_GBK" w:eastAsia="方正仿宋_GBK" w:cs="方正仿宋_GBK"/>
          <w:color w:val="auto"/>
          <w:kern w:val="2"/>
          <w:sz w:val="32"/>
          <w:szCs w:val="32"/>
          <w:highlight w:val="none"/>
          <w:lang w:val="en-US" w:eastAsia="zh-CN" w:bidi="ar"/>
        </w:rPr>
        <w:t>结算</w:t>
      </w:r>
      <w:r>
        <w:rPr>
          <w:rFonts w:hint="eastAsia" w:ascii="方正仿宋_GBK" w:hAnsi="方正仿宋_GBK" w:eastAsia="方正仿宋_GBK" w:cs="方正仿宋_GBK"/>
          <w:color w:val="auto"/>
          <w:kern w:val="2"/>
          <w:sz w:val="32"/>
          <w:szCs w:val="32"/>
          <w:highlight w:val="none"/>
          <w:lang w:bidi="ar"/>
        </w:rPr>
        <w:t>协议原则上每年一签，到期后自动延</w:t>
      </w:r>
      <w:r>
        <w:rPr>
          <w:rFonts w:hint="eastAsia" w:ascii="方正仿宋_GBK" w:hAnsi="方正仿宋_GBK" w:eastAsia="方正仿宋_GBK" w:cs="方正仿宋_GBK"/>
          <w:color w:val="auto"/>
          <w:kern w:val="2"/>
          <w:sz w:val="32"/>
          <w:szCs w:val="32"/>
          <w:highlight w:val="none"/>
          <w:lang w:eastAsia="zh-CN" w:bidi="ar"/>
        </w:rPr>
        <w:t>续，</w:t>
      </w:r>
      <w:r>
        <w:rPr>
          <w:rFonts w:hint="eastAsia" w:ascii="方正仿宋_GBK" w:hAnsi="方正仿宋_GBK" w:eastAsia="方正仿宋_GBK" w:cs="方正仿宋_GBK"/>
          <w:color w:val="auto"/>
          <w:kern w:val="2"/>
          <w:sz w:val="32"/>
          <w:szCs w:val="32"/>
          <w:highlight w:val="none"/>
          <w:lang w:bidi="ar"/>
        </w:rPr>
        <w:t>期限届满前，</w:t>
      </w:r>
      <w:r>
        <w:rPr>
          <w:rFonts w:hint="eastAsia" w:ascii="方正仿宋_GBK" w:hAnsi="方正仿宋_GBK" w:eastAsia="方正仿宋_GBK" w:cs="方正仿宋_GBK"/>
          <w:color w:val="auto"/>
          <w:kern w:val="2"/>
          <w:sz w:val="32"/>
          <w:szCs w:val="32"/>
          <w:highlight w:val="none"/>
          <w:lang w:val="en-US" w:eastAsia="zh-CN" w:bidi="ar"/>
        </w:rPr>
        <w:t>双方可进行协商并</w:t>
      </w:r>
      <w:r>
        <w:rPr>
          <w:rFonts w:hint="eastAsia" w:ascii="方正仿宋_GBK" w:hAnsi="方正仿宋_GBK" w:eastAsia="方正仿宋_GBK" w:cs="方正仿宋_GBK"/>
          <w:color w:val="auto"/>
          <w:kern w:val="2"/>
          <w:sz w:val="32"/>
          <w:szCs w:val="32"/>
          <w:highlight w:val="none"/>
          <w:lang w:eastAsia="zh-CN" w:bidi="ar"/>
        </w:rPr>
        <w:t>重新签订。</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bidi="ar"/>
        </w:rPr>
      </w:pPr>
      <w:r>
        <w:rPr>
          <w:rFonts w:hint="eastAsia" w:ascii="方正仿宋_GBK" w:hAnsi="方正仿宋_GBK" w:eastAsia="方正仿宋_GBK" w:cs="方正仿宋_GBK"/>
          <w:color w:val="auto"/>
          <w:kern w:val="2"/>
          <w:sz w:val="32"/>
          <w:szCs w:val="32"/>
          <w:highlight w:val="none"/>
          <w:lang w:val="en-US" w:eastAsia="zh-CN" w:bidi="ar"/>
        </w:rPr>
        <w:t>已入选项目（以项目核准（</w:t>
      </w:r>
      <w:r>
        <w:rPr>
          <w:rFonts w:hint="eastAsia" w:ascii="方正仿宋_GBK" w:hAnsi="方正仿宋_GBK" w:eastAsia="方正仿宋_GBK" w:cs="方正仿宋_GBK"/>
          <w:color w:val="auto"/>
          <w:kern w:val="2"/>
          <w:sz w:val="32"/>
          <w:szCs w:val="32"/>
          <w:highlight w:val="none"/>
          <w:lang w:eastAsia="zh-CN" w:bidi="ar"/>
        </w:rPr>
        <w:t>备案</w:t>
      </w:r>
      <w:r>
        <w:rPr>
          <w:rFonts w:hint="eastAsia" w:ascii="方正仿宋_GBK" w:hAnsi="方正仿宋_GBK" w:eastAsia="方正仿宋_GBK" w:cs="方正仿宋_GBK"/>
          <w:color w:val="auto"/>
          <w:kern w:val="2"/>
          <w:sz w:val="32"/>
          <w:szCs w:val="32"/>
          <w:highlight w:val="none"/>
          <w:lang w:val="en-US" w:eastAsia="zh-CN" w:bidi="ar"/>
        </w:rPr>
        <w:t>）编码信息为基础判定依据）因自身原因，未按期签订差价结算协议的，视同自愿放弃机制电价、电量，不得参与后续年度机制电价竞价。电网企业应做好告知工作。</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CESI仿宋-GB2312" w:hAnsi="CESI仿宋-GB2312" w:eastAsia="CESI仿宋-GB2312" w:cs="CESI仿宋-GB2312"/>
          <w:b w:val="0"/>
          <w:bCs w:val="0"/>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rPr>
        <w:t>第</w:t>
      </w:r>
      <w:r>
        <w:rPr>
          <w:rFonts w:hint="eastAsia" w:ascii="方正黑体_GBK" w:hAnsi="方正黑体_GBK" w:eastAsia="方正黑体_GBK" w:cs="方正黑体_GBK"/>
          <w:b w:val="0"/>
          <w:bCs w:val="0"/>
          <w:color w:val="auto"/>
          <w:sz w:val="32"/>
          <w:szCs w:val="32"/>
          <w:highlight w:val="none"/>
          <w:lang w:eastAsia="zh-CN"/>
        </w:rPr>
        <w:t>七</w:t>
      </w:r>
      <w:r>
        <w:rPr>
          <w:rFonts w:hint="eastAsia" w:ascii="方正黑体_GBK" w:hAnsi="方正黑体_GBK" w:eastAsia="方正黑体_GBK" w:cs="方正黑体_GBK"/>
          <w:b w:val="0"/>
          <w:bCs w:val="0"/>
          <w:color w:val="auto"/>
          <w:sz w:val="32"/>
          <w:szCs w:val="32"/>
          <w:highlight w:val="none"/>
        </w:rPr>
        <w:t>章 考核</w:t>
      </w:r>
      <w:r>
        <w:rPr>
          <w:rFonts w:hint="eastAsia" w:ascii="方正黑体_GBK" w:hAnsi="方正黑体_GBK" w:eastAsia="方正黑体_GBK" w:cs="方正黑体_GBK"/>
          <w:b w:val="0"/>
          <w:bCs w:val="0"/>
          <w:color w:val="auto"/>
          <w:sz w:val="32"/>
          <w:szCs w:val="32"/>
          <w:highlight w:val="none"/>
          <w:lang w:val="en-US" w:eastAsia="zh-CN"/>
        </w:rPr>
        <w:t>机制</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val="en-US" w:eastAsia="zh-CN" w:bidi="ar"/>
        </w:rPr>
        <w:t>三十二</w:t>
      </w:r>
      <w:r>
        <w:rPr>
          <w:rFonts w:hint="eastAsia" w:ascii="方正仿宋_GBK" w:hAnsi="方正仿宋_GBK" w:eastAsia="方正仿宋_GBK" w:cs="方正仿宋_GBK"/>
          <w:b/>
          <w:bCs/>
          <w:color w:val="auto"/>
          <w:kern w:val="0"/>
          <w:sz w:val="32"/>
          <w:szCs w:val="32"/>
          <w:highlight w:val="none"/>
          <w:lang w:bidi="ar"/>
        </w:rPr>
        <w:t>条</w:t>
      </w:r>
      <w:r>
        <w:rPr>
          <w:rFonts w:hint="eastAsia" w:ascii="CESI仿宋-GB2312" w:hAnsi="CESI仿宋-GB2312" w:eastAsia="CESI仿宋-GB2312" w:cs="CESI仿宋-GB2312"/>
          <w:b/>
          <w:bCs/>
          <w:color w:val="auto"/>
          <w:kern w:val="0"/>
          <w:sz w:val="32"/>
          <w:szCs w:val="32"/>
          <w:highlight w:val="none"/>
          <w:lang w:bidi="ar"/>
        </w:rPr>
        <w:t xml:space="preserve"> </w:t>
      </w:r>
      <w:r>
        <w:rPr>
          <w:rFonts w:hint="eastAsia" w:ascii="方正仿宋_GBK" w:hAnsi="方正仿宋_GBK" w:eastAsia="方正仿宋_GBK" w:cs="方正仿宋_GBK"/>
          <w:b w:val="0"/>
          <w:bCs w:val="0"/>
          <w:color w:val="auto"/>
          <w:kern w:val="2"/>
          <w:sz w:val="32"/>
          <w:szCs w:val="32"/>
          <w:highlight w:val="none"/>
          <w:lang w:val="en-US" w:eastAsia="zh-CN" w:bidi="ar"/>
        </w:rPr>
        <w:t>电网企业</w:t>
      </w:r>
      <w:r>
        <w:rPr>
          <w:rFonts w:hint="eastAsia" w:ascii="方正仿宋_GBK" w:hAnsi="方正仿宋_GBK" w:eastAsia="方正仿宋_GBK" w:cs="方正仿宋_GBK"/>
          <w:color w:val="auto"/>
          <w:kern w:val="2"/>
          <w:sz w:val="32"/>
          <w:szCs w:val="32"/>
          <w:highlight w:val="none"/>
          <w:lang w:bidi="ar"/>
        </w:rPr>
        <w:t>应做好并网服务，建立并网进度跟踪机制，按照时间节点做好</w:t>
      </w:r>
      <w:r>
        <w:rPr>
          <w:rFonts w:hint="eastAsia" w:ascii="方正仿宋_GBK" w:hAnsi="方正仿宋_GBK" w:eastAsia="方正仿宋_GBK" w:cs="方正仿宋_GBK"/>
          <w:color w:val="auto"/>
          <w:kern w:val="2"/>
          <w:sz w:val="32"/>
          <w:szCs w:val="32"/>
          <w:highlight w:val="none"/>
          <w:lang w:val="en-US" w:eastAsia="zh-CN" w:bidi="ar"/>
        </w:rPr>
        <w:t>接网工程</w:t>
      </w:r>
      <w:r>
        <w:rPr>
          <w:rFonts w:hint="eastAsia" w:ascii="方正仿宋_GBK" w:hAnsi="方正仿宋_GBK" w:eastAsia="方正仿宋_GBK" w:cs="方正仿宋_GBK"/>
          <w:color w:val="auto"/>
          <w:kern w:val="2"/>
          <w:sz w:val="32"/>
          <w:szCs w:val="32"/>
          <w:highlight w:val="none"/>
          <w:lang w:bidi="ar"/>
        </w:rPr>
        <w:t>建设及并网调试工作。</w:t>
      </w:r>
      <w:r>
        <w:rPr>
          <w:rFonts w:hint="eastAsia" w:ascii="方正仿宋_GBK" w:hAnsi="方正仿宋_GBK" w:eastAsia="方正仿宋_GBK" w:cs="方正仿宋_GBK"/>
          <w:color w:val="auto"/>
          <w:kern w:val="2"/>
          <w:sz w:val="32"/>
          <w:szCs w:val="32"/>
          <w:highlight w:val="none"/>
          <w:lang w:val="en-US" w:eastAsia="zh-CN" w:bidi="ar"/>
        </w:rPr>
        <w:t>入选项目应严格按照申报时间投产，并按要求</w:t>
      </w:r>
      <w:r>
        <w:rPr>
          <w:rFonts w:hint="eastAsia" w:ascii="方正仿宋_GBK" w:hAnsi="方正仿宋_GBK" w:eastAsia="方正仿宋_GBK" w:cs="方正仿宋_GBK"/>
          <w:color w:val="auto"/>
          <w:kern w:val="2"/>
          <w:sz w:val="32"/>
          <w:szCs w:val="32"/>
          <w:highlight w:val="none"/>
          <w:lang w:bidi="ar"/>
        </w:rPr>
        <w:t>定期</w:t>
      </w:r>
      <w:r>
        <w:rPr>
          <w:rFonts w:hint="eastAsia" w:ascii="方正仿宋_GBK" w:hAnsi="方正仿宋_GBK" w:eastAsia="方正仿宋_GBK" w:cs="方正仿宋_GBK"/>
          <w:color w:val="auto"/>
          <w:kern w:val="2"/>
          <w:sz w:val="32"/>
          <w:szCs w:val="32"/>
          <w:highlight w:val="none"/>
          <w:lang w:val="en-US" w:eastAsia="zh-CN" w:bidi="ar"/>
        </w:rPr>
        <w:t>向电网企业报送</w:t>
      </w:r>
      <w:r>
        <w:rPr>
          <w:rFonts w:hint="eastAsia" w:ascii="方正仿宋_GBK" w:hAnsi="方正仿宋_GBK" w:eastAsia="方正仿宋_GBK" w:cs="方正仿宋_GBK"/>
          <w:color w:val="auto"/>
          <w:kern w:val="2"/>
          <w:sz w:val="32"/>
          <w:szCs w:val="32"/>
          <w:highlight w:val="none"/>
          <w:lang w:bidi="ar"/>
        </w:rPr>
        <w:t>项目前期工作进展、建设进度</w:t>
      </w:r>
      <w:r>
        <w:rPr>
          <w:rFonts w:hint="eastAsia" w:ascii="方正仿宋_GBK" w:hAnsi="方正仿宋_GBK" w:eastAsia="方正仿宋_GBK" w:cs="方正仿宋_GBK"/>
          <w:color w:val="auto"/>
          <w:kern w:val="2"/>
          <w:sz w:val="32"/>
          <w:szCs w:val="32"/>
          <w:highlight w:val="none"/>
          <w:lang w:val="en-US" w:eastAsia="zh-CN" w:bidi="ar"/>
        </w:rPr>
        <w:t>等</w:t>
      </w:r>
      <w:r>
        <w:rPr>
          <w:rFonts w:hint="eastAsia" w:ascii="方正仿宋_GBK" w:hAnsi="方正仿宋_GBK" w:eastAsia="方正仿宋_GBK" w:cs="方正仿宋_GBK"/>
          <w:color w:val="auto"/>
          <w:kern w:val="2"/>
          <w:sz w:val="32"/>
          <w:szCs w:val="32"/>
          <w:highlight w:val="none"/>
          <w:lang w:bidi="ar"/>
        </w:rPr>
        <w:t>情况。</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line="580" w:lineRule="exact"/>
        <w:ind w:left="0" w:leftChars="0" w:right="0" w:rightChars="0" w:firstLine="642" w:firstLineChars="0"/>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第三十三条</w:t>
      </w:r>
      <w:r>
        <w:rPr>
          <w:rFonts w:hint="eastAsia" w:ascii="CESI仿宋-GB2312" w:hAnsi="CESI仿宋-GB2312" w:eastAsia="CESI仿宋-GB2312" w:cs="CESI仿宋-GB2312"/>
          <w:color w:val="auto"/>
          <w:kern w:val="0"/>
          <w:sz w:val="32"/>
          <w:szCs w:val="32"/>
          <w:highlight w:val="none"/>
          <w:lang w:val="en-US" w:eastAsia="zh-CN" w:bidi="ar"/>
        </w:rPr>
        <w:t xml:space="preserve"> </w:t>
      </w:r>
      <w:r>
        <w:rPr>
          <w:rFonts w:hint="eastAsia" w:ascii="方正仿宋_GBK" w:hAnsi="方正仿宋_GBK" w:eastAsia="方正仿宋_GBK" w:cs="方正仿宋_GBK"/>
          <w:color w:val="auto"/>
          <w:kern w:val="2"/>
          <w:sz w:val="32"/>
          <w:szCs w:val="32"/>
          <w:highlight w:val="none"/>
          <w:u w:val="none"/>
          <w:lang w:bidi="ar"/>
        </w:rPr>
        <w:t>入选项目未按期投产，实际投产日期前覆盖的机制电量自动失效、不滚动纳入后续月份。延期投产超过6个月不超过12个月的，取消其最高控股公司（包括变更控股股东的，以项目核准（备案）编码信息为基础判定依据）未来一年内在山西所有项目的竞价资格；延期投产超过12个月的，取消</w:t>
      </w:r>
      <w:r>
        <w:rPr>
          <w:rFonts w:hint="eastAsia" w:ascii="方正仿宋_GBK" w:hAnsi="方正仿宋_GBK" w:eastAsia="方正仿宋_GBK" w:cs="方正仿宋_GBK"/>
          <w:color w:val="auto"/>
          <w:kern w:val="2"/>
          <w:sz w:val="32"/>
          <w:szCs w:val="32"/>
          <w:highlight w:val="none"/>
          <w:u w:val="none"/>
          <w:lang w:eastAsia="zh-CN" w:bidi="ar"/>
        </w:rPr>
        <w:t>其</w:t>
      </w:r>
      <w:r>
        <w:rPr>
          <w:rFonts w:hint="eastAsia" w:ascii="方正仿宋_GBK" w:hAnsi="方正仿宋_GBK" w:eastAsia="方正仿宋_GBK" w:cs="方正仿宋_GBK"/>
          <w:color w:val="auto"/>
          <w:kern w:val="2"/>
          <w:sz w:val="32"/>
          <w:szCs w:val="32"/>
          <w:highlight w:val="none"/>
          <w:u w:val="none"/>
          <w:lang w:bidi="ar"/>
        </w:rPr>
        <w:t>最高控股公司</w:t>
      </w:r>
      <w:r>
        <w:rPr>
          <w:rFonts w:hint="eastAsia" w:ascii="方正仿宋_GBK" w:hAnsi="方正仿宋_GBK" w:eastAsia="方正仿宋_GBK" w:cs="方正仿宋_GBK"/>
          <w:color w:val="auto"/>
          <w:kern w:val="2"/>
          <w:sz w:val="32"/>
          <w:szCs w:val="32"/>
          <w:highlight w:val="none"/>
          <w:u w:val="none"/>
          <w:lang w:eastAsia="zh-CN" w:bidi="ar"/>
        </w:rPr>
        <w:t>（</w:t>
      </w:r>
      <w:r>
        <w:rPr>
          <w:rFonts w:hint="eastAsia" w:ascii="方正仿宋_GBK" w:hAnsi="方正仿宋_GBK" w:eastAsia="方正仿宋_GBK" w:cs="方正仿宋_GBK"/>
          <w:color w:val="auto"/>
          <w:kern w:val="2"/>
          <w:sz w:val="32"/>
          <w:szCs w:val="32"/>
          <w:highlight w:val="none"/>
          <w:u w:val="none"/>
          <w:lang w:val="en-US" w:eastAsia="zh-CN" w:bidi="ar"/>
        </w:rPr>
        <w:t>包括变更控股股东的，以项目核准（</w:t>
      </w:r>
      <w:r>
        <w:rPr>
          <w:rFonts w:hint="eastAsia" w:ascii="方正仿宋_GBK" w:hAnsi="方正仿宋_GBK" w:eastAsia="方正仿宋_GBK" w:cs="方正仿宋_GBK"/>
          <w:color w:val="auto"/>
          <w:kern w:val="2"/>
          <w:sz w:val="32"/>
          <w:szCs w:val="32"/>
          <w:highlight w:val="none"/>
          <w:u w:val="none"/>
          <w:lang w:eastAsia="zh-CN" w:bidi="ar"/>
        </w:rPr>
        <w:t>备案</w:t>
      </w:r>
      <w:r>
        <w:rPr>
          <w:rFonts w:hint="eastAsia" w:ascii="方正仿宋_GBK" w:hAnsi="方正仿宋_GBK" w:eastAsia="方正仿宋_GBK" w:cs="方正仿宋_GBK"/>
          <w:color w:val="auto"/>
          <w:kern w:val="2"/>
          <w:sz w:val="32"/>
          <w:szCs w:val="32"/>
          <w:highlight w:val="none"/>
          <w:u w:val="none"/>
          <w:lang w:val="en-US" w:eastAsia="zh-CN" w:bidi="ar"/>
        </w:rPr>
        <w:t>）编码信息为基础判定依据</w:t>
      </w:r>
      <w:r>
        <w:rPr>
          <w:rFonts w:hint="eastAsia" w:ascii="方正仿宋_GBK" w:hAnsi="方正仿宋_GBK" w:eastAsia="方正仿宋_GBK" w:cs="方正仿宋_GBK"/>
          <w:color w:val="auto"/>
          <w:kern w:val="2"/>
          <w:sz w:val="32"/>
          <w:szCs w:val="32"/>
          <w:highlight w:val="none"/>
          <w:u w:val="none"/>
          <w:lang w:eastAsia="zh-CN" w:bidi="ar"/>
        </w:rPr>
        <w:t>）</w:t>
      </w:r>
      <w:r>
        <w:rPr>
          <w:rFonts w:hint="eastAsia" w:ascii="方正仿宋_GBK" w:hAnsi="方正仿宋_GBK" w:eastAsia="方正仿宋_GBK" w:cs="方正仿宋_GBK"/>
          <w:color w:val="auto"/>
          <w:kern w:val="2"/>
          <w:sz w:val="32"/>
          <w:szCs w:val="32"/>
          <w:highlight w:val="none"/>
          <w:u w:val="none"/>
          <w:lang w:bidi="ar"/>
        </w:rPr>
        <w:t>未来三年内</w:t>
      </w:r>
      <w:r>
        <w:rPr>
          <w:rFonts w:hint="eastAsia" w:ascii="方正仿宋_GBK" w:hAnsi="方正仿宋_GBK" w:eastAsia="方正仿宋_GBK" w:cs="方正仿宋_GBK"/>
          <w:color w:val="auto"/>
          <w:kern w:val="2"/>
          <w:sz w:val="32"/>
          <w:szCs w:val="32"/>
          <w:highlight w:val="none"/>
          <w:u w:val="none"/>
          <w:lang w:eastAsia="zh-CN" w:bidi="ar"/>
        </w:rPr>
        <w:t>在山西所有项目的</w:t>
      </w:r>
      <w:r>
        <w:rPr>
          <w:rFonts w:hint="eastAsia" w:ascii="方正仿宋_GBK" w:hAnsi="方正仿宋_GBK" w:eastAsia="方正仿宋_GBK" w:cs="方正仿宋_GBK"/>
          <w:color w:val="auto"/>
          <w:kern w:val="2"/>
          <w:sz w:val="32"/>
          <w:szCs w:val="32"/>
          <w:highlight w:val="none"/>
          <w:u w:val="none"/>
          <w:lang w:bidi="ar"/>
        </w:rPr>
        <w:t>竞价资格，并且该项目当次竞价入选结果作废。聚合商代理项目作为整体参照上述规定执行。</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b/>
          <w:bCs/>
          <w:color w:val="auto"/>
          <w:kern w:val="0"/>
          <w:sz w:val="32"/>
          <w:szCs w:val="32"/>
          <w:highlight w:val="none"/>
          <w:lang w:val="en-US" w:eastAsia="zh-CN" w:bidi="ar"/>
        </w:rPr>
        <w:t xml:space="preserve">第三十四条 </w:t>
      </w:r>
      <w:r>
        <w:rPr>
          <w:rFonts w:hint="eastAsia" w:ascii="方正仿宋_GBK" w:hAnsi="方正仿宋_GBK" w:eastAsia="方正仿宋_GBK" w:cs="方正仿宋_GBK"/>
          <w:color w:val="auto"/>
          <w:kern w:val="2"/>
          <w:sz w:val="32"/>
          <w:szCs w:val="32"/>
          <w:highlight w:val="none"/>
          <w:lang w:val="en-US" w:eastAsia="zh-CN" w:bidi="ar"/>
        </w:rPr>
        <w:t>履约保函使用。未入选项目在竞价结果公示后、入选项目在按期投产后，可申请退还保函。聚合商</w:t>
      </w:r>
      <w:r>
        <w:rPr>
          <w:rFonts w:hint="eastAsia" w:ascii="方正仿宋_GBK" w:hAnsi="方正仿宋_GBK" w:eastAsia="方正仿宋_GBK" w:cs="方正仿宋_GBK"/>
          <w:color w:val="auto"/>
          <w:kern w:val="2"/>
          <w:sz w:val="32"/>
          <w:szCs w:val="32"/>
          <w:highlight w:val="none"/>
          <w:lang w:bidi="ar"/>
        </w:rPr>
        <w:t>代理项目共用一份保函，其代理</w:t>
      </w:r>
      <w:r>
        <w:rPr>
          <w:rFonts w:hint="eastAsia" w:ascii="方正仿宋_GBK" w:hAnsi="方正仿宋_GBK" w:eastAsia="方正仿宋_GBK" w:cs="方正仿宋_GBK"/>
          <w:color w:val="auto"/>
          <w:kern w:val="2"/>
          <w:sz w:val="32"/>
          <w:szCs w:val="32"/>
          <w:highlight w:val="none"/>
          <w:lang w:val="en-US" w:eastAsia="zh-CN" w:bidi="ar"/>
        </w:rPr>
        <w:t>入选</w:t>
      </w:r>
      <w:r>
        <w:rPr>
          <w:rFonts w:hint="eastAsia" w:ascii="方正仿宋_GBK" w:hAnsi="方正仿宋_GBK" w:eastAsia="方正仿宋_GBK" w:cs="方正仿宋_GBK"/>
          <w:color w:val="auto"/>
          <w:kern w:val="2"/>
          <w:sz w:val="32"/>
          <w:szCs w:val="32"/>
          <w:highlight w:val="none"/>
          <w:lang w:bidi="ar"/>
        </w:rPr>
        <w:t>项目全部全容量并网后可申请退还保函。</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9"/>
        <w:rPr>
          <w:rFonts w:hint="eastAsia" w:ascii="CESI仿宋-GB2312" w:hAnsi="CESI仿宋-GB2312" w:eastAsia="CESI仿宋-GB2312" w:cs="CESI仿宋-GB2312"/>
          <w:color w:val="auto"/>
          <w:kern w:val="2"/>
          <w:sz w:val="32"/>
          <w:szCs w:val="32"/>
          <w:highlight w:val="none"/>
          <w:lang w:val="en-US" w:eastAsia="zh-CN" w:bidi="ar"/>
        </w:rPr>
      </w:pPr>
      <w:r>
        <w:rPr>
          <w:rFonts w:hint="eastAsia" w:ascii="方正仿宋_GBK" w:hAnsi="方正仿宋_GBK" w:eastAsia="方正仿宋_GBK" w:cs="方正仿宋_GBK"/>
          <w:color w:val="auto"/>
          <w:kern w:val="2"/>
          <w:sz w:val="32"/>
          <w:szCs w:val="32"/>
          <w:highlight w:val="none"/>
          <w:lang w:val="en-US" w:eastAsia="zh-CN" w:bidi="ar"/>
        </w:rPr>
        <w:t>对延期投产不超过6个月的项目（含聚合商），按延期天数扣除履约保函金额，每日按金额的1‰计算，剩余履约保函金额在项目实际投产后返还新能源项目；对延期投产超6个月不超过12个月的项目（含聚合商），按延期天数扣除履约保函金额，每日按金额的2‰计算，剩余履约保函金额在项目实际投产后返还新能源项目；对延期投产超12个月及以上的项目（含聚合商），扣除全部履约保函。扣除的履约保函资金纳入系统运行费，由全体工商业用户分享。</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eastAsia="zh-CN" w:bidi="ar"/>
        </w:rPr>
      </w:pPr>
      <w:r>
        <w:rPr>
          <w:rFonts w:hint="eastAsia" w:ascii="方正仿宋_GBK" w:hAnsi="方正仿宋_GBK" w:eastAsia="方正仿宋_GBK" w:cs="方正仿宋_GBK"/>
          <w:b/>
          <w:bCs/>
          <w:color w:val="auto"/>
          <w:kern w:val="0"/>
          <w:sz w:val="32"/>
          <w:szCs w:val="32"/>
          <w:highlight w:val="none"/>
          <w:lang w:val="en-US" w:eastAsia="zh-CN" w:bidi="ar"/>
        </w:rPr>
        <w:t xml:space="preserve">第三十五条 </w:t>
      </w:r>
      <w:r>
        <w:rPr>
          <w:rFonts w:hint="eastAsia" w:ascii="方正仿宋_GBK" w:hAnsi="方正仿宋_GBK" w:eastAsia="方正仿宋_GBK" w:cs="方正仿宋_GBK"/>
          <w:color w:val="auto"/>
          <w:kern w:val="2"/>
          <w:sz w:val="32"/>
          <w:szCs w:val="32"/>
          <w:highlight w:val="none"/>
          <w:lang w:bidi="ar"/>
        </w:rPr>
        <w:t>竞价主体在材料申报、竞价过程中存在</w:t>
      </w:r>
      <w:r>
        <w:rPr>
          <w:rFonts w:hint="eastAsia" w:ascii="方正仿宋_GBK" w:hAnsi="方正仿宋_GBK" w:eastAsia="方正仿宋_GBK" w:cs="方正仿宋_GBK"/>
          <w:color w:val="auto"/>
          <w:kern w:val="2"/>
          <w:sz w:val="32"/>
          <w:szCs w:val="32"/>
          <w:highlight w:val="none"/>
          <w:lang w:val="en-US" w:eastAsia="zh-CN" w:bidi="ar"/>
        </w:rPr>
        <w:t>弄虚作假、串通报价等扰乱竞价秩序的</w:t>
      </w:r>
      <w:r>
        <w:rPr>
          <w:rFonts w:hint="eastAsia" w:ascii="方正仿宋_GBK" w:hAnsi="方正仿宋_GBK" w:eastAsia="方正仿宋_GBK" w:cs="方正仿宋_GBK"/>
          <w:color w:val="auto"/>
          <w:kern w:val="2"/>
          <w:sz w:val="32"/>
          <w:szCs w:val="32"/>
          <w:highlight w:val="none"/>
          <w:lang w:bidi="ar"/>
        </w:rPr>
        <w:t>，取消其最高</w:t>
      </w:r>
      <w:r>
        <w:rPr>
          <w:rFonts w:hint="eastAsia" w:ascii="方正仿宋_GBK" w:hAnsi="方正仿宋_GBK" w:eastAsia="方正仿宋_GBK" w:cs="方正仿宋_GBK"/>
          <w:color w:val="auto"/>
          <w:kern w:val="2"/>
          <w:sz w:val="32"/>
          <w:szCs w:val="32"/>
          <w:highlight w:val="none"/>
          <w:lang w:eastAsia="zh-CN" w:bidi="ar"/>
        </w:rPr>
        <w:t>控股公司（包括变更控股股东的，以项目</w:t>
      </w:r>
      <w:r>
        <w:rPr>
          <w:rFonts w:hint="eastAsia" w:ascii="方正仿宋_GBK" w:hAnsi="方正仿宋_GBK" w:eastAsia="方正仿宋_GBK" w:cs="方正仿宋_GBK"/>
          <w:color w:val="auto"/>
          <w:kern w:val="2"/>
          <w:sz w:val="32"/>
          <w:szCs w:val="32"/>
          <w:highlight w:val="none"/>
          <w:lang w:val="en-US" w:eastAsia="zh-CN" w:bidi="ar"/>
        </w:rPr>
        <w:t>核准（</w:t>
      </w:r>
      <w:r>
        <w:rPr>
          <w:rFonts w:hint="eastAsia" w:ascii="方正仿宋_GBK" w:hAnsi="方正仿宋_GBK" w:eastAsia="方正仿宋_GBK" w:cs="方正仿宋_GBK"/>
          <w:color w:val="auto"/>
          <w:kern w:val="2"/>
          <w:sz w:val="32"/>
          <w:szCs w:val="32"/>
          <w:highlight w:val="none"/>
          <w:lang w:eastAsia="zh-CN" w:bidi="ar"/>
        </w:rPr>
        <w:t>备案</w:t>
      </w:r>
      <w:r>
        <w:rPr>
          <w:rFonts w:hint="eastAsia" w:ascii="方正仿宋_GBK" w:hAnsi="方正仿宋_GBK" w:eastAsia="方正仿宋_GBK" w:cs="方正仿宋_GBK"/>
          <w:color w:val="auto"/>
          <w:kern w:val="2"/>
          <w:sz w:val="32"/>
          <w:szCs w:val="32"/>
          <w:highlight w:val="none"/>
          <w:lang w:val="en-US" w:eastAsia="zh-CN" w:bidi="ar"/>
        </w:rPr>
        <w:t>）编码</w:t>
      </w:r>
      <w:r>
        <w:rPr>
          <w:rFonts w:hint="eastAsia" w:ascii="方正仿宋_GBK" w:hAnsi="方正仿宋_GBK" w:eastAsia="方正仿宋_GBK" w:cs="方正仿宋_GBK"/>
          <w:color w:val="auto"/>
          <w:kern w:val="2"/>
          <w:sz w:val="32"/>
          <w:szCs w:val="32"/>
          <w:highlight w:val="none"/>
          <w:lang w:eastAsia="zh-CN" w:bidi="ar"/>
        </w:rPr>
        <w:t>信息为</w:t>
      </w:r>
      <w:r>
        <w:rPr>
          <w:rFonts w:hint="eastAsia" w:ascii="方正仿宋_GBK" w:hAnsi="方正仿宋_GBK" w:eastAsia="方正仿宋_GBK" w:cs="方正仿宋_GBK"/>
          <w:color w:val="auto"/>
          <w:kern w:val="2"/>
          <w:sz w:val="32"/>
          <w:szCs w:val="32"/>
          <w:highlight w:val="none"/>
          <w:lang w:val="en-US" w:eastAsia="zh-CN" w:bidi="ar"/>
        </w:rPr>
        <w:t>基础</w:t>
      </w:r>
      <w:r>
        <w:rPr>
          <w:rFonts w:hint="eastAsia" w:ascii="方正仿宋_GBK" w:hAnsi="方正仿宋_GBK" w:eastAsia="方正仿宋_GBK" w:cs="方正仿宋_GBK"/>
          <w:color w:val="auto"/>
          <w:kern w:val="2"/>
          <w:sz w:val="32"/>
          <w:szCs w:val="32"/>
          <w:highlight w:val="none"/>
          <w:lang w:eastAsia="zh-CN" w:bidi="ar"/>
        </w:rPr>
        <w:t>判定依据）</w:t>
      </w:r>
      <w:r>
        <w:rPr>
          <w:rFonts w:hint="eastAsia" w:ascii="方正仿宋_GBK" w:hAnsi="方正仿宋_GBK" w:eastAsia="方正仿宋_GBK" w:cs="方正仿宋_GBK"/>
          <w:color w:val="auto"/>
          <w:kern w:val="2"/>
          <w:sz w:val="32"/>
          <w:szCs w:val="32"/>
          <w:highlight w:val="none"/>
          <w:lang w:bidi="ar"/>
        </w:rPr>
        <w:t>三年内在</w:t>
      </w:r>
      <w:r>
        <w:rPr>
          <w:rFonts w:hint="eastAsia" w:ascii="方正仿宋_GBK" w:hAnsi="方正仿宋_GBK" w:eastAsia="方正仿宋_GBK" w:cs="方正仿宋_GBK"/>
          <w:color w:val="auto"/>
          <w:kern w:val="2"/>
          <w:sz w:val="32"/>
          <w:szCs w:val="32"/>
          <w:highlight w:val="none"/>
          <w:lang w:val="en-US" w:eastAsia="zh-CN" w:bidi="ar"/>
        </w:rPr>
        <w:t>山西</w:t>
      </w:r>
      <w:r>
        <w:rPr>
          <w:rFonts w:hint="eastAsia" w:ascii="方正仿宋_GBK" w:hAnsi="方正仿宋_GBK" w:eastAsia="方正仿宋_GBK" w:cs="方正仿宋_GBK"/>
          <w:color w:val="auto"/>
          <w:kern w:val="2"/>
          <w:sz w:val="32"/>
          <w:szCs w:val="32"/>
          <w:highlight w:val="none"/>
          <w:lang w:bidi="ar"/>
        </w:rPr>
        <w:t>所有项目的竞价资格</w:t>
      </w:r>
      <w:r>
        <w:rPr>
          <w:rFonts w:hint="eastAsia" w:ascii="方正仿宋_GBK" w:hAnsi="方正仿宋_GBK" w:eastAsia="方正仿宋_GBK" w:cs="方正仿宋_GBK"/>
          <w:color w:val="auto"/>
          <w:kern w:val="2"/>
          <w:sz w:val="32"/>
          <w:szCs w:val="3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firstLine="642" w:firstLineChars="200"/>
        <w:jc w:val="both"/>
        <w:textAlignment w:val="auto"/>
        <w:outlineLvl w:val="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bidi="ar"/>
        </w:rPr>
        <w:t xml:space="preserve">第三十六条 </w:t>
      </w:r>
      <w:r>
        <w:rPr>
          <w:rFonts w:hint="eastAsia" w:ascii="方正仿宋_GBK" w:hAnsi="方正仿宋_GBK" w:eastAsia="方正仿宋_GBK" w:cs="方正仿宋_GBK"/>
          <w:color w:val="auto"/>
          <w:sz w:val="32"/>
          <w:szCs w:val="32"/>
          <w:highlight w:val="none"/>
          <w:lang w:val="en-US" w:eastAsia="zh-CN"/>
        </w:rPr>
        <w:t>山西地方电网、增量配电网、水电自供区等负责其区域内符合条件的增量新能源项目竞价资料收集、资质审核、保函收取等工作，并统一对接省电力公司搭建的竞价平台；根据新能源项目竞得机制电量按规定开展差价结算，并按月向省电力公司提供差价结算情况。</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rPr>
          <w:rFonts w:hint="eastAsia" w:ascii="CESI仿宋-GB2312" w:hAnsi="CESI仿宋-GB2312" w:eastAsia="CESI仿宋-GB2312" w:cs="CESI仿宋-GB2312"/>
          <w:color w:val="auto"/>
          <w:kern w:val="0"/>
          <w:sz w:val="32"/>
          <w:szCs w:val="32"/>
          <w:highlight w:val="none"/>
          <w:lang w:val="en-US" w:eastAsia="zh-CN" w:bidi="ar"/>
        </w:rPr>
      </w:pPr>
    </w:p>
    <w:p>
      <w:pPr>
        <w:pStyle w:val="4"/>
        <w:keepNext w:val="0"/>
        <w:keepLines w:val="0"/>
        <w:pageBreakBefore w:val="0"/>
        <w:widowControl w:val="0"/>
        <w:kinsoku/>
        <w:wordWrap/>
        <w:overflowPunct/>
        <w:topLinePunct w:val="0"/>
        <w:autoSpaceDE/>
        <w:autoSpaceDN/>
        <w:bidi w:val="0"/>
        <w:adjustRightInd/>
        <w:snapToGrid/>
        <w:spacing w:before="0" w:beforeLines="0" w:after="0" w:line="580" w:lineRule="exact"/>
        <w:ind w:left="0" w:leftChars="0" w:right="0" w:rightChars="0"/>
        <w:jc w:val="center"/>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第</w:t>
      </w:r>
      <w:r>
        <w:rPr>
          <w:rFonts w:hint="eastAsia" w:ascii="方正黑体_GBK" w:hAnsi="方正黑体_GBK" w:eastAsia="方正黑体_GBK" w:cs="方正黑体_GBK"/>
          <w:b w:val="0"/>
          <w:bCs w:val="0"/>
          <w:color w:val="auto"/>
          <w:sz w:val="32"/>
          <w:szCs w:val="32"/>
          <w:highlight w:val="none"/>
          <w:lang w:val="en-US" w:eastAsia="zh-CN"/>
        </w:rPr>
        <w:t>八</w:t>
      </w:r>
      <w:r>
        <w:rPr>
          <w:rFonts w:hint="eastAsia" w:ascii="方正黑体_GBK" w:hAnsi="方正黑体_GBK" w:eastAsia="方正黑体_GBK" w:cs="方正黑体_GBK"/>
          <w:b w:val="0"/>
          <w:bCs w:val="0"/>
          <w:color w:val="auto"/>
          <w:sz w:val="32"/>
          <w:szCs w:val="32"/>
          <w:highlight w:val="none"/>
        </w:rPr>
        <w:t>章 附则</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第</w:t>
      </w:r>
      <w:r>
        <w:rPr>
          <w:rFonts w:hint="eastAsia" w:ascii="方正仿宋_GBK" w:hAnsi="方正仿宋_GBK" w:eastAsia="方正仿宋_GBK" w:cs="方正仿宋_GBK"/>
          <w:b/>
          <w:bCs/>
          <w:color w:val="auto"/>
          <w:kern w:val="0"/>
          <w:sz w:val="32"/>
          <w:szCs w:val="32"/>
          <w:highlight w:val="none"/>
          <w:lang w:eastAsia="zh-CN" w:bidi="ar"/>
        </w:rPr>
        <w:t>三十</w:t>
      </w:r>
      <w:r>
        <w:rPr>
          <w:rFonts w:hint="eastAsia" w:ascii="方正仿宋_GBK" w:hAnsi="方正仿宋_GBK" w:eastAsia="方正仿宋_GBK" w:cs="方正仿宋_GBK"/>
          <w:b/>
          <w:bCs/>
          <w:color w:val="auto"/>
          <w:kern w:val="0"/>
          <w:sz w:val="32"/>
          <w:szCs w:val="32"/>
          <w:highlight w:val="none"/>
          <w:lang w:val="en-US" w:eastAsia="zh-CN" w:bidi="ar"/>
        </w:rPr>
        <w:t>七</w:t>
      </w:r>
      <w:r>
        <w:rPr>
          <w:rFonts w:hint="eastAsia" w:ascii="方正仿宋_GBK" w:hAnsi="方正仿宋_GBK" w:eastAsia="方正仿宋_GBK" w:cs="方正仿宋_GBK"/>
          <w:b/>
          <w:bCs/>
          <w:color w:val="auto"/>
          <w:kern w:val="0"/>
          <w:sz w:val="32"/>
          <w:szCs w:val="32"/>
          <w:highlight w:val="none"/>
          <w:lang w:bidi="ar"/>
        </w:rPr>
        <w:t>条</w:t>
      </w:r>
      <w:r>
        <w:rPr>
          <w:rFonts w:hint="eastAsia" w:ascii="CESI仿宋-GB2312" w:hAnsi="CESI仿宋-GB2312" w:eastAsia="CESI仿宋-GB2312" w:cs="CESI仿宋-GB2312"/>
          <w:b/>
          <w:bCs/>
          <w:color w:val="auto"/>
          <w:kern w:val="0"/>
          <w:sz w:val="32"/>
          <w:szCs w:val="32"/>
          <w:highlight w:val="none"/>
          <w:lang w:bidi="ar"/>
        </w:rPr>
        <w:t xml:space="preserve"> </w:t>
      </w:r>
      <w:r>
        <w:rPr>
          <w:rFonts w:hint="eastAsia" w:ascii="方正仿宋_GBK" w:hAnsi="方正仿宋_GBK" w:eastAsia="方正仿宋_GBK" w:cs="方正仿宋_GBK"/>
          <w:color w:val="auto"/>
          <w:kern w:val="2"/>
          <w:sz w:val="32"/>
          <w:szCs w:val="32"/>
          <w:highlight w:val="none"/>
          <w:lang w:bidi="ar"/>
        </w:rPr>
        <w:t>竞价组织</w:t>
      </w:r>
      <w:r>
        <w:rPr>
          <w:rFonts w:hint="eastAsia" w:ascii="方正仿宋_GBK" w:hAnsi="方正仿宋_GBK" w:eastAsia="方正仿宋_GBK" w:cs="方正仿宋_GBK"/>
          <w:color w:val="auto"/>
          <w:kern w:val="2"/>
          <w:sz w:val="32"/>
          <w:szCs w:val="32"/>
          <w:highlight w:val="none"/>
          <w:lang w:val="en-US" w:eastAsia="zh-CN" w:bidi="ar"/>
        </w:rPr>
        <w:t>机构</w:t>
      </w:r>
      <w:r>
        <w:rPr>
          <w:rFonts w:hint="eastAsia" w:ascii="方正仿宋_GBK" w:hAnsi="方正仿宋_GBK" w:eastAsia="方正仿宋_GBK" w:cs="方正仿宋_GBK"/>
          <w:color w:val="auto"/>
          <w:kern w:val="2"/>
          <w:sz w:val="32"/>
          <w:szCs w:val="32"/>
          <w:highlight w:val="none"/>
          <w:lang w:bidi="ar"/>
        </w:rPr>
        <w:t>及其相关工作人员要严守保密规定，严禁擅自对外泄露项目申报信息等内容。</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第三十</w:t>
      </w:r>
      <w:r>
        <w:rPr>
          <w:rFonts w:hint="eastAsia" w:ascii="方正仿宋_GBK" w:hAnsi="方正仿宋_GBK" w:eastAsia="方正仿宋_GBK" w:cs="方正仿宋_GBK"/>
          <w:b/>
          <w:bCs/>
          <w:color w:val="auto"/>
          <w:kern w:val="0"/>
          <w:sz w:val="32"/>
          <w:szCs w:val="32"/>
          <w:highlight w:val="none"/>
          <w:lang w:val="en-US" w:eastAsia="zh-CN" w:bidi="ar"/>
        </w:rPr>
        <w:t>八</w:t>
      </w:r>
      <w:r>
        <w:rPr>
          <w:rFonts w:hint="eastAsia" w:ascii="方正仿宋_GBK" w:hAnsi="方正仿宋_GBK" w:eastAsia="方正仿宋_GBK" w:cs="方正仿宋_GBK"/>
          <w:b/>
          <w:bCs/>
          <w:color w:val="auto"/>
          <w:kern w:val="0"/>
          <w:sz w:val="32"/>
          <w:szCs w:val="32"/>
          <w:highlight w:val="none"/>
          <w:lang w:bidi="ar"/>
        </w:rPr>
        <w:t>条</w:t>
      </w:r>
      <w:r>
        <w:rPr>
          <w:rFonts w:hint="eastAsia" w:ascii="CESI仿宋-GB2312" w:hAnsi="CESI仿宋-GB2312" w:eastAsia="CESI仿宋-GB2312" w:cs="CESI仿宋-GB2312"/>
          <w:b/>
          <w:bCs/>
          <w:color w:val="auto"/>
          <w:kern w:val="0"/>
          <w:sz w:val="32"/>
          <w:szCs w:val="32"/>
          <w:highlight w:val="none"/>
          <w:lang w:bidi="ar"/>
        </w:rPr>
        <w:t xml:space="preserve"> </w:t>
      </w:r>
      <w:r>
        <w:rPr>
          <w:rFonts w:hint="eastAsia" w:ascii="方正仿宋_GBK" w:hAnsi="方正仿宋_GBK" w:eastAsia="方正仿宋_GBK" w:cs="方正仿宋_GBK"/>
          <w:color w:val="auto"/>
          <w:kern w:val="2"/>
          <w:sz w:val="32"/>
          <w:szCs w:val="32"/>
          <w:highlight w:val="none"/>
          <w:lang w:bidi="ar"/>
        </w:rPr>
        <w:t>本细则由省发展改革委负责解释。</w:t>
      </w:r>
    </w:p>
    <w:p>
      <w:pPr>
        <w:keepNext w:val="0"/>
        <w:keepLines w:val="0"/>
        <w:pageBreakBefore w:val="0"/>
        <w:widowControl w:val="0"/>
        <w:numPr>
          <w:ilvl w:val="255"/>
          <w:numId w:val="0"/>
        </w:numPr>
        <w:kinsoku/>
        <w:wordWrap/>
        <w:overflowPunct/>
        <w:topLinePunct w:val="0"/>
        <w:autoSpaceDE/>
        <w:autoSpaceDN/>
        <w:bidi w:val="0"/>
        <w:adjustRightInd/>
        <w:snapToGrid/>
        <w:spacing w:before="0" w:beforeLines="0" w:after="0" w:line="580" w:lineRule="exact"/>
        <w:ind w:left="0" w:leftChars="0" w:right="0" w:rightChars="0" w:firstLine="642" w:firstLineChars="200"/>
        <w:textAlignment w:val="auto"/>
        <w:outlineLvl w:val="1"/>
        <w:rPr>
          <w:rFonts w:hint="eastAsia" w:ascii="方正仿宋_GBK" w:hAnsi="方正仿宋_GBK" w:eastAsia="方正仿宋_GBK" w:cs="方正仿宋_GBK"/>
          <w:color w:val="auto"/>
          <w:kern w:val="2"/>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bidi="ar"/>
        </w:rPr>
        <w:t>第三十</w:t>
      </w:r>
      <w:r>
        <w:rPr>
          <w:rFonts w:hint="eastAsia" w:ascii="方正仿宋_GBK" w:hAnsi="方正仿宋_GBK" w:eastAsia="方正仿宋_GBK" w:cs="方正仿宋_GBK"/>
          <w:b/>
          <w:bCs/>
          <w:color w:val="auto"/>
          <w:kern w:val="0"/>
          <w:sz w:val="32"/>
          <w:szCs w:val="32"/>
          <w:highlight w:val="none"/>
          <w:lang w:val="en-US" w:eastAsia="zh-CN" w:bidi="ar"/>
        </w:rPr>
        <w:t>九</w:t>
      </w:r>
      <w:r>
        <w:rPr>
          <w:rFonts w:hint="eastAsia" w:ascii="方正仿宋_GBK" w:hAnsi="方正仿宋_GBK" w:eastAsia="方正仿宋_GBK" w:cs="方正仿宋_GBK"/>
          <w:b/>
          <w:bCs/>
          <w:color w:val="auto"/>
          <w:kern w:val="0"/>
          <w:sz w:val="32"/>
          <w:szCs w:val="32"/>
          <w:highlight w:val="none"/>
          <w:lang w:bidi="ar"/>
        </w:rPr>
        <w:t>条</w:t>
      </w:r>
      <w:r>
        <w:rPr>
          <w:rFonts w:hint="eastAsia" w:ascii="CESI仿宋-GB2312" w:hAnsi="CESI仿宋-GB2312" w:eastAsia="CESI仿宋-GB2312" w:cs="CESI仿宋-GB2312"/>
          <w:color w:val="auto"/>
          <w:kern w:val="0"/>
          <w:sz w:val="32"/>
          <w:szCs w:val="32"/>
          <w:highlight w:val="none"/>
        </w:rPr>
        <w:t xml:space="preserve"> </w:t>
      </w:r>
      <w:r>
        <w:rPr>
          <w:rFonts w:hint="eastAsia" w:ascii="方正仿宋_GBK" w:hAnsi="方正仿宋_GBK" w:eastAsia="方正仿宋_GBK" w:cs="方正仿宋_GBK"/>
          <w:color w:val="auto"/>
          <w:sz w:val="32"/>
          <w:szCs w:val="32"/>
          <w:highlight w:val="none"/>
          <w:lang w:bidi="ar"/>
        </w:rPr>
        <w:t>本细则自发布之日起施行，如遇</w:t>
      </w:r>
      <w:r>
        <w:rPr>
          <w:rFonts w:hint="eastAsia" w:ascii="方正仿宋_GBK" w:hAnsi="方正仿宋_GBK" w:eastAsia="方正仿宋_GBK" w:cs="方正仿宋_GBK"/>
          <w:color w:val="auto"/>
          <w:sz w:val="32"/>
          <w:szCs w:val="32"/>
          <w:highlight w:val="none"/>
          <w:lang w:eastAsia="zh-CN" w:bidi="ar"/>
        </w:rPr>
        <w:t>国家</w:t>
      </w:r>
      <w:r>
        <w:rPr>
          <w:rFonts w:hint="eastAsia" w:ascii="方正仿宋_GBK" w:hAnsi="方正仿宋_GBK" w:eastAsia="方正仿宋_GBK" w:cs="方正仿宋_GBK"/>
          <w:color w:val="auto"/>
          <w:sz w:val="32"/>
          <w:szCs w:val="32"/>
          <w:highlight w:val="none"/>
          <w:lang w:bidi="ar"/>
        </w:rPr>
        <w:t>政策</w:t>
      </w:r>
      <w:r>
        <w:rPr>
          <w:rFonts w:hint="eastAsia" w:ascii="方正仿宋_GBK" w:hAnsi="方正仿宋_GBK" w:eastAsia="方正仿宋_GBK" w:cs="方正仿宋_GBK"/>
          <w:color w:val="auto"/>
          <w:sz w:val="32"/>
          <w:szCs w:val="32"/>
          <w:highlight w:val="none"/>
          <w:lang w:eastAsia="zh-CN" w:bidi="ar"/>
        </w:rPr>
        <w:t>调整</w:t>
      </w:r>
      <w:r>
        <w:rPr>
          <w:rFonts w:hint="eastAsia" w:ascii="方正仿宋_GBK" w:hAnsi="方正仿宋_GBK" w:eastAsia="方正仿宋_GBK" w:cs="方正仿宋_GBK"/>
          <w:color w:val="auto"/>
          <w:sz w:val="32"/>
          <w:szCs w:val="32"/>
          <w:highlight w:val="none"/>
          <w:lang w:bidi="ar"/>
        </w:rPr>
        <w:t>或行业变化适时调整</w:t>
      </w:r>
      <w:r>
        <w:rPr>
          <w:rFonts w:hint="eastAsia" w:ascii="方正仿宋_GBK" w:hAnsi="方正仿宋_GBK" w:eastAsia="方正仿宋_GBK" w:cs="方正仿宋_GBK"/>
          <w:color w:val="auto"/>
          <w:kern w:val="2"/>
          <w:sz w:val="32"/>
          <w:szCs w:val="32"/>
          <w:highlight w:val="none"/>
          <w:lang w:val="en-US" w:eastAsia="zh-CN"/>
        </w:rPr>
        <w:t>。</w:t>
      </w:r>
    </w:p>
    <w:sectPr>
      <w:footerReference r:id="rId3" w:type="default"/>
      <w:pgSz w:w="11906" w:h="16838"/>
      <w:pgMar w:top="1984" w:right="1616" w:bottom="1814" w:left="1616" w:header="851" w:footer="992" w:gutter="0"/>
      <w:pgNumType w:fmt="decimal" w:start="1"/>
      <w:cols w:space="0" w:num="1"/>
      <w:docGrid w:type="linesAndChars" w:linePitch="321" w:charSpace="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Wonder Arial">
    <w:altName w:val="Times New Roman"/>
    <w:panose1 w:val="00000000000000000000"/>
    <w:charset w:val="00"/>
    <w:family w:val="auto"/>
    <w:pitch w:val="default"/>
    <w:sig w:usb0="00000000" w:usb1="00000000" w:usb2="00000000" w:usb3="00000000" w:csb0="0000001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Theme="minorEastAsia" w:hAnsiTheme="minorEastAsia" w:eastAsiaTheme="minorEastAsia" w:cstheme="minorEastAsia"/>
                              <w:sz w:val="21"/>
                              <w:szCs w:val="32"/>
                            </w:rPr>
                            <w:fldChar w:fldCharType="begin"/>
                          </w:r>
                          <w:r>
                            <w:rPr>
                              <w:rFonts w:hint="eastAsia" w:asciiTheme="minorEastAsia" w:hAnsiTheme="minorEastAsia" w:eastAsiaTheme="minorEastAsia" w:cstheme="minorEastAsia"/>
                              <w:sz w:val="21"/>
                              <w:szCs w:val="32"/>
                            </w:rPr>
                            <w:instrText xml:space="preserve"> PAGE  \* MERGEFORMAT </w:instrText>
                          </w:r>
                          <w:r>
                            <w:rPr>
                              <w:rFonts w:hint="eastAsia" w:asciiTheme="minorEastAsia" w:hAnsiTheme="minorEastAsia" w:eastAsiaTheme="minorEastAsia" w:cstheme="minorEastAsia"/>
                              <w:sz w:val="21"/>
                              <w:szCs w:val="32"/>
                            </w:rPr>
                            <w:fldChar w:fldCharType="separate"/>
                          </w:r>
                          <w:r>
                            <w:rPr>
                              <w:rFonts w:hint="eastAsia" w:asciiTheme="minorEastAsia" w:hAnsiTheme="minorEastAsia" w:eastAsiaTheme="minorEastAsia" w:cstheme="minorEastAsia"/>
                              <w:sz w:val="21"/>
                              <w:szCs w:val="32"/>
                            </w:rPr>
                            <w:t>1</w:t>
                          </w:r>
                          <w:r>
                            <w:rPr>
                              <w:rFonts w:hint="eastAsia" w:asciiTheme="minorEastAsia" w:hAnsiTheme="minorEastAsia" w:eastAsiaTheme="minorEastAsia" w:cstheme="minorEastAsia"/>
                              <w:sz w:val="21"/>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rPr>
                        <w:rFonts w:hint="eastAsia" w:asciiTheme="minorEastAsia" w:hAnsiTheme="minorEastAsia" w:eastAsiaTheme="minorEastAsia" w:cstheme="minorEastAsia"/>
                        <w:sz w:val="21"/>
                        <w:szCs w:val="32"/>
                      </w:rPr>
                      <w:fldChar w:fldCharType="begin"/>
                    </w:r>
                    <w:r>
                      <w:rPr>
                        <w:rFonts w:hint="eastAsia" w:asciiTheme="minorEastAsia" w:hAnsiTheme="minorEastAsia" w:eastAsiaTheme="minorEastAsia" w:cstheme="minorEastAsia"/>
                        <w:sz w:val="21"/>
                        <w:szCs w:val="32"/>
                      </w:rPr>
                      <w:instrText xml:space="preserve"> PAGE  \* MERGEFORMAT </w:instrText>
                    </w:r>
                    <w:r>
                      <w:rPr>
                        <w:rFonts w:hint="eastAsia" w:asciiTheme="minorEastAsia" w:hAnsiTheme="minorEastAsia" w:eastAsiaTheme="minorEastAsia" w:cstheme="minorEastAsia"/>
                        <w:sz w:val="21"/>
                        <w:szCs w:val="32"/>
                      </w:rPr>
                      <w:fldChar w:fldCharType="separate"/>
                    </w:r>
                    <w:r>
                      <w:rPr>
                        <w:rFonts w:hint="eastAsia" w:asciiTheme="minorEastAsia" w:hAnsiTheme="minorEastAsia" w:eastAsiaTheme="minorEastAsia" w:cstheme="minorEastAsia"/>
                        <w:sz w:val="21"/>
                        <w:szCs w:val="32"/>
                      </w:rPr>
                      <w:t>1</w:t>
                    </w:r>
                    <w:r>
                      <w:rPr>
                        <w:rFonts w:hint="eastAsia" w:asciiTheme="minorEastAsia" w:hAnsiTheme="minorEastAsia" w:eastAsiaTheme="minorEastAsia" w:cstheme="minorEastAsia"/>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F79B0"/>
    <w:multiLevelType w:val="multilevel"/>
    <w:tmpl w:val="1CBF79B0"/>
    <w:lvl w:ilvl="0" w:tentative="0">
      <w:start w:val="1"/>
      <w:numFmt w:val="chineseCounting"/>
      <w:pStyle w:val="5"/>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false"/>
  <w:bordersDoNotSurroundFooter w:val="false"/>
  <w:documentProtection w:enforcement="0"/>
  <w:defaultTabStop w:val="420"/>
  <w:drawingGridHorizontalSpacing w:val="106"/>
  <w:drawingGridVerticalSpacing w:val="16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ZDJhNTdhOGQyOWU2MWUwOTliYmE3NzQ0YzI5NmQifQ=="/>
    <w:docVar w:name="KSO_WPS_MARK_KEY" w:val="605069da-1559-4a15-9a19-a86cfdae8f66"/>
  </w:docVars>
  <w:rsids>
    <w:rsidRoot w:val="00DB01F9"/>
    <w:rsid w:val="000749E3"/>
    <w:rsid w:val="00187E75"/>
    <w:rsid w:val="001C6301"/>
    <w:rsid w:val="00210781"/>
    <w:rsid w:val="0022181C"/>
    <w:rsid w:val="00225158"/>
    <w:rsid w:val="00245430"/>
    <w:rsid w:val="00282442"/>
    <w:rsid w:val="004E7DC8"/>
    <w:rsid w:val="007F0A1D"/>
    <w:rsid w:val="008A4459"/>
    <w:rsid w:val="008B1255"/>
    <w:rsid w:val="00905365"/>
    <w:rsid w:val="00960C8B"/>
    <w:rsid w:val="009A61CF"/>
    <w:rsid w:val="00A95A9A"/>
    <w:rsid w:val="00B243B8"/>
    <w:rsid w:val="00BA35A4"/>
    <w:rsid w:val="00C108DE"/>
    <w:rsid w:val="00D47779"/>
    <w:rsid w:val="00DB01F9"/>
    <w:rsid w:val="00DC7C1D"/>
    <w:rsid w:val="01001B5E"/>
    <w:rsid w:val="01086C64"/>
    <w:rsid w:val="010B405F"/>
    <w:rsid w:val="01227D26"/>
    <w:rsid w:val="012515C4"/>
    <w:rsid w:val="013238DF"/>
    <w:rsid w:val="01401F5A"/>
    <w:rsid w:val="01431A4A"/>
    <w:rsid w:val="01437C9C"/>
    <w:rsid w:val="014D363C"/>
    <w:rsid w:val="014F219D"/>
    <w:rsid w:val="01547E21"/>
    <w:rsid w:val="0160084E"/>
    <w:rsid w:val="01687703"/>
    <w:rsid w:val="016F05E9"/>
    <w:rsid w:val="016F283F"/>
    <w:rsid w:val="01716B3B"/>
    <w:rsid w:val="01777CB8"/>
    <w:rsid w:val="017E2A82"/>
    <w:rsid w:val="017F5714"/>
    <w:rsid w:val="018F2EE2"/>
    <w:rsid w:val="01922E7E"/>
    <w:rsid w:val="0195486A"/>
    <w:rsid w:val="01A8275A"/>
    <w:rsid w:val="01A93FA3"/>
    <w:rsid w:val="01AC264C"/>
    <w:rsid w:val="01BF37C7"/>
    <w:rsid w:val="01D52FDB"/>
    <w:rsid w:val="01DD1E9F"/>
    <w:rsid w:val="01F1129A"/>
    <w:rsid w:val="01F40F97"/>
    <w:rsid w:val="01FE3C22"/>
    <w:rsid w:val="01FF1E15"/>
    <w:rsid w:val="021E42F5"/>
    <w:rsid w:val="02296E92"/>
    <w:rsid w:val="0236775E"/>
    <w:rsid w:val="02370282"/>
    <w:rsid w:val="023D5577"/>
    <w:rsid w:val="02684F7E"/>
    <w:rsid w:val="02685C0C"/>
    <w:rsid w:val="02784B3C"/>
    <w:rsid w:val="027875F8"/>
    <w:rsid w:val="027A149C"/>
    <w:rsid w:val="027A79AF"/>
    <w:rsid w:val="027E0DD2"/>
    <w:rsid w:val="028265A2"/>
    <w:rsid w:val="028B5457"/>
    <w:rsid w:val="02912723"/>
    <w:rsid w:val="02AE6465"/>
    <w:rsid w:val="02BA21E0"/>
    <w:rsid w:val="02D13D2C"/>
    <w:rsid w:val="02DF1C2E"/>
    <w:rsid w:val="031A2823"/>
    <w:rsid w:val="03222AD1"/>
    <w:rsid w:val="03232EAE"/>
    <w:rsid w:val="035148F2"/>
    <w:rsid w:val="03595555"/>
    <w:rsid w:val="035E2B6B"/>
    <w:rsid w:val="03685798"/>
    <w:rsid w:val="036F6B27"/>
    <w:rsid w:val="037467C2"/>
    <w:rsid w:val="037B2484"/>
    <w:rsid w:val="039B791C"/>
    <w:rsid w:val="03A20BCA"/>
    <w:rsid w:val="03A74512"/>
    <w:rsid w:val="03AF394F"/>
    <w:rsid w:val="03B35FD9"/>
    <w:rsid w:val="03BB1124"/>
    <w:rsid w:val="03CC21CB"/>
    <w:rsid w:val="03CC3DA4"/>
    <w:rsid w:val="03D41080"/>
    <w:rsid w:val="03DB240E"/>
    <w:rsid w:val="03E80687"/>
    <w:rsid w:val="03EC461B"/>
    <w:rsid w:val="04003C23"/>
    <w:rsid w:val="0406304E"/>
    <w:rsid w:val="04115E30"/>
    <w:rsid w:val="041A1188"/>
    <w:rsid w:val="04404526"/>
    <w:rsid w:val="045C354F"/>
    <w:rsid w:val="04673B69"/>
    <w:rsid w:val="04781A0B"/>
    <w:rsid w:val="04784101"/>
    <w:rsid w:val="048E542B"/>
    <w:rsid w:val="049727D9"/>
    <w:rsid w:val="04B35139"/>
    <w:rsid w:val="04C335CE"/>
    <w:rsid w:val="04C723FD"/>
    <w:rsid w:val="04CC1D57"/>
    <w:rsid w:val="04D35AC2"/>
    <w:rsid w:val="04DD561A"/>
    <w:rsid w:val="04E23328"/>
    <w:rsid w:val="04ED064B"/>
    <w:rsid w:val="04FB3391"/>
    <w:rsid w:val="04FD0C1C"/>
    <w:rsid w:val="05025778"/>
    <w:rsid w:val="050E1D62"/>
    <w:rsid w:val="05104339"/>
    <w:rsid w:val="053F358A"/>
    <w:rsid w:val="05404C1F"/>
    <w:rsid w:val="055661F0"/>
    <w:rsid w:val="057B5C57"/>
    <w:rsid w:val="05A056BD"/>
    <w:rsid w:val="05A0746B"/>
    <w:rsid w:val="05B32B43"/>
    <w:rsid w:val="05BE3D95"/>
    <w:rsid w:val="05CB200E"/>
    <w:rsid w:val="05DF5956"/>
    <w:rsid w:val="05E10B43"/>
    <w:rsid w:val="062F2A1F"/>
    <w:rsid w:val="06691F53"/>
    <w:rsid w:val="06982838"/>
    <w:rsid w:val="069A11EF"/>
    <w:rsid w:val="069B7C33"/>
    <w:rsid w:val="069D39AB"/>
    <w:rsid w:val="06A0349B"/>
    <w:rsid w:val="06B07B82"/>
    <w:rsid w:val="06B84C89"/>
    <w:rsid w:val="06C21A4B"/>
    <w:rsid w:val="06C929F2"/>
    <w:rsid w:val="06CA3863"/>
    <w:rsid w:val="06D66EBD"/>
    <w:rsid w:val="06E11AE9"/>
    <w:rsid w:val="06E91C42"/>
    <w:rsid w:val="07041C7C"/>
    <w:rsid w:val="07061550"/>
    <w:rsid w:val="070D6785"/>
    <w:rsid w:val="07153256"/>
    <w:rsid w:val="071D3CB8"/>
    <w:rsid w:val="0733430F"/>
    <w:rsid w:val="0757624F"/>
    <w:rsid w:val="076F3599"/>
    <w:rsid w:val="07746E01"/>
    <w:rsid w:val="079528D4"/>
    <w:rsid w:val="07AD40C1"/>
    <w:rsid w:val="07B70B3C"/>
    <w:rsid w:val="07B83486"/>
    <w:rsid w:val="07BC65BD"/>
    <w:rsid w:val="07C86689"/>
    <w:rsid w:val="07E32D3F"/>
    <w:rsid w:val="07E52432"/>
    <w:rsid w:val="081D1247"/>
    <w:rsid w:val="08234384"/>
    <w:rsid w:val="083375A0"/>
    <w:rsid w:val="08471E20"/>
    <w:rsid w:val="08545B61"/>
    <w:rsid w:val="085F4000"/>
    <w:rsid w:val="0869448C"/>
    <w:rsid w:val="086E55FF"/>
    <w:rsid w:val="08760957"/>
    <w:rsid w:val="08803584"/>
    <w:rsid w:val="0882554E"/>
    <w:rsid w:val="08AE6343"/>
    <w:rsid w:val="08B1198F"/>
    <w:rsid w:val="08C6368D"/>
    <w:rsid w:val="08CC4417"/>
    <w:rsid w:val="08CE2703"/>
    <w:rsid w:val="08D77648"/>
    <w:rsid w:val="08D81F84"/>
    <w:rsid w:val="08FC0E5C"/>
    <w:rsid w:val="09216B15"/>
    <w:rsid w:val="09241E8E"/>
    <w:rsid w:val="09356B77"/>
    <w:rsid w:val="093920B1"/>
    <w:rsid w:val="094169D0"/>
    <w:rsid w:val="095256EF"/>
    <w:rsid w:val="0963712E"/>
    <w:rsid w:val="096A71BE"/>
    <w:rsid w:val="0970184A"/>
    <w:rsid w:val="097374A5"/>
    <w:rsid w:val="09992B4F"/>
    <w:rsid w:val="09B51B61"/>
    <w:rsid w:val="09B63396"/>
    <w:rsid w:val="09B83739"/>
    <w:rsid w:val="09D353E9"/>
    <w:rsid w:val="09E01EB3"/>
    <w:rsid w:val="09F25B0B"/>
    <w:rsid w:val="09FC4E8C"/>
    <w:rsid w:val="0A253800"/>
    <w:rsid w:val="0A310FDA"/>
    <w:rsid w:val="0A3B3C06"/>
    <w:rsid w:val="0A426D43"/>
    <w:rsid w:val="0A5371A2"/>
    <w:rsid w:val="0A5A6C75"/>
    <w:rsid w:val="0A8251DB"/>
    <w:rsid w:val="0ABD1C25"/>
    <w:rsid w:val="0ABE4721"/>
    <w:rsid w:val="0AC12181"/>
    <w:rsid w:val="0AC41E4E"/>
    <w:rsid w:val="0AD62F21"/>
    <w:rsid w:val="0ADF6D51"/>
    <w:rsid w:val="0AED3F99"/>
    <w:rsid w:val="0B1D1323"/>
    <w:rsid w:val="0B3350BD"/>
    <w:rsid w:val="0B61769D"/>
    <w:rsid w:val="0B971310"/>
    <w:rsid w:val="0B9A4370"/>
    <w:rsid w:val="0B9A670B"/>
    <w:rsid w:val="0BBE485F"/>
    <w:rsid w:val="0BC56F5F"/>
    <w:rsid w:val="0BCB720C"/>
    <w:rsid w:val="0BD75BB1"/>
    <w:rsid w:val="0BDC4F75"/>
    <w:rsid w:val="0BE45BD8"/>
    <w:rsid w:val="0BEF6A57"/>
    <w:rsid w:val="0BF64E64"/>
    <w:rsid w:val="0C0A0D50"/>
    <w:rsid w:val="0C0E7B57"/>
    <w:rsid w:val="0C173772"/>
    <w:rsid w:val="0C2C7CAB"/>
    <w:rsid w:val="0C315EAF"/>
    <w:rsid w:val="0C337593"/>
    <w:rsid w:val="0C3F5D9F"/>
    <w:rsid w:val="0C4F0A73"/>
    <w:rsid w:val="0C66083C"/>
    <w:rsid w:val="0C7451AE"/>
    <w:rsid w:val="0C970E9C"/>
    <w:rsid w:val="0C9B428A"/>
    <w:rsid w:val="0CA211E4"/>
    <w:rsid w:val="0CB01BC8"/>
    <w:rsid w:val="0CB924CA"/>
    <w:rsid w:val="0CBC74CA"/>
    <w:rsid w:val="0CD10852"/>
    <w:rsid w:val="0CE11ED3"/>
    <w:rsid w:val="0CF34325"/>
    <w:rsid w:val="0D363C70"/>
    <w:rsid w:val="0D487225"/>
    <w:rsid w:val="0D49488C"/>
    <w:rsid w:val="0D4C7070"/>
    <w:rsid w:val="0D584ACF"/>
    <w:rsid w:val="0D5E08D8"/>
    <w:rsid w:val="0D785AB0"/>
    <w:rsid w:val="0D87627D"/>
    <w:rsid w:val="0D9C3830"/>
    <w:rsid w:val="0DB5782C"/>
    <w:rsid w:val="0DC12675"/>
    <w:rsid w:val="0DC67D96"/>
    <w:rsid w:val="0DC7755F"/>
    <w:rsid w:val="0DCC7869"/>
    <w:rsid w:val="0DDA37C8"/>
    <w:rsid w:val="0E050DBA"/>
    <w:rsid w:val="0E0E565E"/>
    <w:rsid w:val="0E2B359A"/>
    <w:rsid w:val="0E3E3CC5"/>
    <w:rsid w:val="0E417312"/>
    <w:rsid w:val="0E4310F3"/>
    <w:rsid w:val="0E4460FC"/>
    <w:rsid w:val="0E5A03D3"/>
    <w:rsid w:val="0E5A4B87"/>
    <w:rsid w:val="0EC20452"/>
    <w:rsid w:val="0ED064A7"/>
    <w:rsid w:val="0EDA2719"/>
    <w:rsid w:val="0EE24651"/>
    <w:rsid w:val="0EE6556C"/>
    <w:rsid w:val="0EE83C31"/>
    <w:rsid w:val="0F0071CD"/>
    <w:rsid w:val="0F262032"/>
    <w:rsid w:val="0F3B750B"/>
    <w:rsid w:val="0F3E01A5"/>
    <w:rsid w:val="0F461C42"/>
    <w:rsid w:val="0F4F5A5E"/>
    <w:rsid w:val="0F6036CD"/>
    <w:rsid w:val="0F66163C"/>
    <w:rsid w:val="0F661726"/>
    <w:rsid w:val="0F696B20"/>
    <w:rsid w:val="0F77291F"/>
    <w:rsid w:val="0F7A3275"/>
    <w:rsid w:val="0FA740A4"/>
    <w:rsid w:val="0FC16349"/>
    <w:rsid w:val="0FCE174D"/>
    <w:rsid w:val="0FD506F3"/>
    <w:rsid w:val="0FDA5711"/>
    <w:rsid w:val="0FFF56D6"/>
    <w:rsid w:val="10090303"/>
    <w:rsid w:val="102B33B7"/>
    <w:rsid w:val="10376C1E"/>
    <w:rsid w:val="10482BD9"/>
    <w:rsid w:val="10484CD2"/>
    <w:rsid w:val="105B5F13"/>
    <w:rsid w:val="10606175"/>
    <w:rsid w:val="10703EDE"/>
    <w:rsid w:val="107C2C1E"/>
    <w:rsid w:val="10843178"/>
    <w:rsid w:val="1088167F"/>
    <w:rsid w:val="10973B61"/>
    <w:rsid w:val="10994179"/>
    <w:rsid w:val="109951E3"/>
    <w:rsid w:val="10AF2C58"/>
    <w:rsid w:val="10CF6E57"/>
    <w:rsid w:val="10D72A43"/>
    <w:rsid w:val="10E2481B"/>
    <w:rsid w:val="10E30B54"/>
    <w:rsid w:val="10E50428"/>
    <w:rsid w:val="10EB635D"/>
    <w:rsid w:val="10EF5C58"/>
    <w:rsid w:val="11186A50"/>
    <w:rsid w:val="11274E0B"/>
    <w:rsid w:val="11421D1E"/>
    <w:rsid w:val="116B3023"/>
    <w:rsid w:val="116C0B49"/>
    <w:rsid w:val="116C1F15"/>
    <w:rsid w:val="117309BE"/>
    <w:rsid w:val="118B7221"/>
    <w:rsid w:val="119A1806"/>
    <w:rsid w:val="11AA515D"/>
    <w:rsid w:val="11B65F35"/>
    <w:rsid w:val="11CC2982"/>
    <w:rsid w:val="11E42803"/>
    <w:rsid w:val="11E903EC"/>
    <w:rsid w:val="11F473CE"/>
    <w:rsid w:val="11F823DD"/>
    <w:rsid w:val="12040D82"/>
    <w:rsid w:val="121479A7"/>
    <w:rsid w:val="12174F59"/>
    <w:rsid w:val="12211934"/>
    <w:rsid w:val="1238181A"/>
    <w:rsid w:val="12417028"/>
    <w:rsid w:val="12446BBB"/>
    <w:rsid w:val="12543AB7"/>
    <w:rsid w:val="12767ED2"/>
    <w:rsid w:val="12771554"/>
    <w:rsid w:val="129A3494"/>
    <w:rsid w:val="129B7938"/>
    <w:rsid w:val="12AA1929"/>
    <w:rsid w:val="12AA7B7B"/>
    <w:rsid w:val="12D76496"/>
    <w:rsid w:val="12D9220E"/>
    <w:rsid w:val="12E37C64"/>
    <w:rsid w:val="12F17558"/>
    <w:rsid w:val="130A68F5"/>
    <w:rsid w:val="130F3E82"/>
    <w:rsid w:val="13117BFA"/>
    <w:rsid w:val="13207E3D"/>
    <w:rsid w:val="13246E38"/>
    <w:rsid w:val="134C0C32"/>
    <w:rsid w:val="134F427F"/>
    <w:rsid w:val="1356385F"/>
    <w:rsid w:val="136441CE"/>
    <w:rsid w:val="13653AA2"/>
    <w:rsid w:val="137A57A0"/>
    <w:rsid w:val="139D37F3"/>
    <w:rsid w:val="13A46379"/>
    <w:rsid w:val="13A7657E"/>
    <w:rsid w:val="13A90151"/>
    <w:rsid w:val="13B567D8"/>
    <w:rsid w:val="13BE783C"/>
    <w:rsid w:val="13D04AB2"/>
    <w:rsid w:val="13DB164B"/>
    <w:rsid w:val="13E23345"/>
    <w:rsid w:val="13E946D3"/>
    <w:rsid w:val="13F866C4"/>
    <w:rsid w:val="13FE6B6B"/>
    <w:rsid w:val="14027543"/>
    <w:rsid w:val="141A488D"/>
    <w:rsid w:val="14241D72"/>
    <w:rsid w:val="142632DC"/>
    <w:rsid w:val="14305E5E"/>
    <w:rsid w:val="143A5861"/>
    <w:rsid w:val="14524026"/>
    <w:rsid w:val="14665D24"/>
    <w:rsid w:val="1491769E"/>
    <w:rsid w:val="14C447F8"/>
    <w:rsid w:val="14D25444"/>
    <w:rsid w:val="14DC5FE6"/>
    <w:rsid w:val="14E86739"/>
    <w:rsid w:val="14EA71AA"/>
    <w:rsid w:val="14FB4049"/>
    <w:rsid w:val="150712B5"/>
    <w:rsid w:val="15155054"/>
    <w:rsid w:val="151B167B"/>
    <w:rsid w:val="151C4634"/>
    <w:rsid w:val="15273705"/>
    <w:rsid w:val="152F555A"/>
    <w:rsid w:val="15311E8E"/>
    <w:rsid w:val="153B4AAC"/>
    <w:rsid w:val="1546345F"/>
    <w:rsid w:val="155609E3"/>
    <w:rsid w:val="155A03DF"/>
    <w:rsid w:val="155E2E9F"/>
    <w:rsid w:val="158C3568"/>
    <w:rsid w:val="158D537B"/>
    <w:rsid w:val="15AD4FB3"/>
    <w:rsid w:val="15D0021D"/>
    <w:rsid w:val="15D10C96"/>
    <w:rsid w:val="15E75566"/>
    <w:rsid w:val="15EA64E1"/>
    <w:rsid w:val="15FA2BC8"/>
    <w:rsid w:val="16053765"/>
    <w:rsid w:val="1640045E"/>
    <w:rsid w:val="165113D4"/>
    <w:rsid w:val="166B7621"/>
    <w:rsid w:val="1683496B"/>
    <w:rsid w:val="16A82624"/>
    <w:rsid w:val="16AA639C"/>
    <w:rsid w:val="16B74615"/>
    <w:rsid w:val="16D43419"/>
    <w:rsid w:val="16D451C7"/>
    <w:rsid w:val="16DA6555"/>
    <w:rsid w:val="1706734A"/>
    <w:rsid w:val="17222493"/>
    <w:rsid w:val="17283764"/>
    <w:rsid w:val="17365E81"/>
    <w:rsid w:val="17506B0F"/>
    <w:rsid w:val="17544559"/>
    <w:rsid w:val="17557BE2"/>
    <w:rsid w:val="175C6800"/>
    <w:rsid w:val="17714059"/>
    <w:rsid w:val="17930DF4"/>
    <w:rsid w:val="179C745C"/>
    <w:rsid w:val="17A50911"/>
    <w:rsid w:val="17CA3A94"/>
    <w:rsid w:val="17D336D0"/>
    <w:rsid w:val="17DB4333"/>
    <w:rsid w:val="17EE22B8"/>
    <w:rsid w:val="17F7560B"/>
    <w:rsid w:val="17FF44C5"/>
    <w:rsid w:val="18115FA7"/>
    <w:rsid w:val="18147845"/>
    <w:rsid w:val="18286E23"/>
    <w:rsid w:val="18377592"/>
    <w:rsid w:val="184B14B9"/>
    <w:rsid w:val="18550589"/>
    <w:rsid w:val="18552337"/>
    <w:rsid w:val="18616F2E"/>
    <w:rsid w:val="188062D0"/>
    <w:rsid w:val="18852535"/>
    <w:rsid w:val="189149A2"/>
    <w:rsid w:val="189310B2"/>
    <w:rsid w:val="189D5A8C"/>
    <w:rsid w:val="18A04329"/>
    <w:rsid w:val="18A961DF"/>
    <w:rsid w:val="18AB01A9"/>
    <w:rsid w:val="18D25736"/>
    <w:rsid w:val="18E36490"/>
    <w:rsid w:val="18E41FEF"/>
    <w:rsid w:val="190632D9"/>
    <w:rsid w:val="1910625E"/>
    <w:rsid w:val="19371A3D"/>
    <w:rsid w:val="193B777F"/>
    <w:rsid w:val="193D5CAC"/>
    <w:rsid w:val="1945415A"/>
    <w:rsid w:val="194859F8"/>
    <w:rsid w:val="19510D51"/>
    <w:rsid w:val="196D1903"/>
    <w:rsid w:val="197C38F4"/>
    <w:rsid w:val="19832F59"/>
    <w:rsid w:val="19940C3D"/>
    <w:rsid w:val="199926F8"/>
    <w:rsid w:val="19A034BB"/>
    <w:rsid w:val="19A048B5"/>
    <w:rsid w:val="19B108A8"/>
    <w:rsid w:val="19BE3346"/>
    <w:rsid w:val="19C31523"/>
    <w:rsid w:val="19D65D86"/>
    <w:rsid w:val="19E77C80"/>
    <w:rsid w:val="19EA6AAF"/>
    <w:rsid w:val="19EF2318"/>
    <w:rsid w:val="19F416DC"/>
    <w:rsid w:val="1A132F57"/>
    <w:rsid w:val="1A153EDB"/>
    <w:rsid w:val="1A2C531A"/>
    <w:rsid w:val="1A393593"/>
    <w:rsid w:val="1A461FED"/>
    <w:rsid w:val="1A620D3B"/>
    <w:rsid w:val="1A654388"/>
    <w:rsid w:val="1A671C83"/>
    <w:rsid w:val="1A676352"/>
    <w:rsid w:val="1A807414"/>
    <w:rsid w:val="1A814D78"/>
    <w:rsid w:val="1A8B64E4"/>
    <w:rsid w:val="1A91517D"/>
    <w:rsid w:val="1A933FFE"/>
    <w:rsid w:val="1AA65FFB"/>
    <w:rsid w:val="1AB93127"/>
    <w:rsid w:val="1ABD2416"/>
    <w:rsid w:val="1AF575F6"/>
    <w:rsid w:val="1AFD2812"/>
    <w:rsid w:val="1B012302"/>
    <w:rsid w:val="1B07333A"/>
    <w:rsid w:val="1B0D00A7"/>
    <w:rsid w:val="1B0E2C71"/>
    <w:rsid w:val="1B1C47ED"/>
    <w:rsid w:val="1B2E3ECD"/>
    <w:rsid w:val="1B4641B9"/>
    <w:rsid w:val="1B50328A"/>
    <w:rsid w:val="1B56108C"/>
    <w:rsid w:val="1B562A98"/>
    <w:rsid w:val="1B5E7755"/>
    <w:rsid w:val="1B610FF3"/>
    <w:rsid w:val="1B662663"/>
    <w:rsid w:val="1B76261A"/>
    <w:rsid w:val="1B83626B"/>
    <w:rsid w:val="1BA41907"/>
    <w:rsid w:val="1BAB04C0"/>
    <w:rsid w:val="1BC21F41"/>
    <w:rsid w:val="1BC302A4"/>
    <w:rsid w:val="1BCD2105"/>
    <w:rsid w:val="1BCD3C2E"/>
    <w:rsid w:val="1BD47F71"/>
    <w:rsid w:val="1BDF33B1"/>
    <w:rsid w:val="1BE30A67"/>
    <w:rsid w:val="1BE8010C"/>
    <w:rsid w:val="1C092910"/>
    <w:rsid w:val="1C1550D8"/>
    <w:rsid w:val="1C2344FA"/>
    <w:rsid w:val="1C2753DD"/>
    <w:rsid w:val="1C2838BF"/>
    <w:rsid w:val="1C3B42E2"/>
    <w:rsid w:val="1C4E3A0F"/>
    <w:rsid w:val="1C5447D4"/>
    <w:rsid w:val="1C556DAA"/>
    <w:rsid w:val="1C5648D0"/>
    <w:rsid w:val="1C6671DC"/>
    <w:rsid w:val="1C732FFC"/>
    <w:rsid w:val="1C7B7E93"/>
    <w:rsid w:val="1C7F7983"/>
    <w:rsid w:val="1C8C432A"/>
    <w:rsid w:val="1C8E4C15"/>
    <w:rsid w:val="1C8F264F"/>
    <w:rsid w:val="1C9B15DE"/>
    <w:rsid w:val="1C9B22E3"/>
    <w:rsid w:val="1CB25FAA"/>
    <w:rsid w:val="1CC161ED"/>
    <w:rsid w:val="1CC9447E"/>
    <w:rsid w:val="1CCE0005"/>
    <w:rsid w:val="1CE41EDC"/>
    <w:rsid w:val="1CE67E99"/>
    <w:rsid w:val="1D1A76AB"/>
    <w:rsid w:val="1D3A1AFC"/>
    <w:rsid w:val="1D4209B0"/>
    <w:rsid w:val="1D540E0F"/>
    <w:rsid w:val="1D5A03F0"/>
    <w:rsid w:val="1D85753A"/>
    <w:rsid w:val="1D863FB9"/>
    <w:rsid w:val="1DAA094D"/>
    <w:rsid w:val="1DBC15C8"/>
    <w:rsid w:val="1DDB32DF"/>
    <w:rsid w:val="1DF93765"/>
    <w:rsid w:val="1E004AF3"/>
    <w:rsid w:val="1E09644C"/>
    <w:rsid w:val="1E116D00"/>
    <w:rsid w:val="1E1E141D"/>
    <w:rsid w:val="1E2A6014"/>
    <w:rsid w:val="1E334EC9"/>
    <w:rsid w:val="1E3D18A3"/>
    <w:rsid w:val="1E42335E"/>
    <w:rsid w:val="1E4F15D7"/>
    <w:rsid w:val="1E4F3186"/>
    <w:rsid w:val="1E5170FD"/>
    <w:rsid w:val="1E5C6084"/>
    <w:rsid w:val="1E652BA8"/>
    <w:rsid w:val="1E9020A9"/>
    <w:rsid w:val="1E906B44"/>
    <w:rsid w:val="1E9C6F5E"/>
    <w:rsid w:val="1EA27958"/>
    <w:rsid w:val="1EA543A2"/>
    <w:rsid w:val="1EA9518B"/>
    <w:rsid w:val="1EBA4166"/>
    <w:rsid w:val="1ED3045A"/>
    <w:rsid w:val="1ED4672D"/>
    <w:rsid w:val="1ED9468B"/>
    <w:rsid w:val="1F0028D1"/>
    <w:rsid w:val="1F073C5F"/>
    <w:rsid w:val="1F192D27"/>
    <w:rsid w:val="1F3C5D6A"/>
    <w:rsid w:val="1F3E017E"/>
    <w:rsid w:val="1F473C0D"/>
    <w:rsid w:val="1F494278"/>
    <w:rsid w:val="1F5275D0"/>
    <w:rsid w:val="1F6115C2"/>
    <w:rsid w:val="1F6D2139"/>
    <w:rsid w:val="1F7076AA"/>
    <w:rsid w:val="1F841754"/>
    <w:rsid w:val="1F97233C"/>
    <w:rsid w:val="1FCA456F"/>
    <w:rsid w:val="1FCA4D36"/>
    <w:rsid w:val="1FE168F0"/>
    <w:rsid w:val="1FEA7809"/>
    <w:rsid w:val="1FEB532F"/>
    <w:rsid w:val="1FEC2403"/>
    <w:rsid w:val="1FED13DC"/>
    <w:rsid w:val="200E7FCF"/>
    <w:rsid w:val="20146634"/>
    <w:rsid w:val="204809D3"/>
    <w:rsid w:val="204911F3"/>
    <w:rsid w:val="205E572E"/>
    <w:rsid w:val="20644402"/>
    <w:rsid w:val="207812B9"/>
    <w:rsid w:val="20914128"/>
    <w:rsid w:val="2096173F"/>
    <w:rsid w:val="209D2ACD"/>
    <w:rsid w:val="20B0213D"/>
    <w:rsid w:val="20DE6C42"/>
    <w:rsid w:val="20FB5A46"/>
    <w:rsid w:val="211F1DB7"/>
    <w:rsid w:val="21316E34"/>
    <w:rsid w:val="2148083B"/>
    <w:rsid w:val="21575865"/>
    <w:rsid w:val="21577C73"/>
    <w:rsid w:val="215A09BE"/>
    <w:rsid w:val="21701EF5"/>
    <w:rsid w:val="21710433"/>
    <w:rsid w:val="217A6BD0"/>
    <w:rsid w:val="219C502E"/>
    <w:rsid w:val="21B232EF"/>
    <w:rsid w:val="21B856E5"/>
    <w:rsid w:val="21C4451B"/>
    <w:rsid w:val="21E801DB"/>
    <w:rsid w:val="21F52495"/>
    <w:rsid w:val="21FE7A46"/>
    <w:rsid w:val="220507C4"/>
    <w:rsid w:val="22105521"/>
    <w:rsid w:val="22195E0A"/>
    <w:rsid w:val="22201D24"/>
    <w:rsid w:val="2221328A"/>
    <w:rsid w:val="22284619"/>
    <w:rsid w:val="222A0391"/>
    <w:rsid w:val="223C629F"/>
    <w:rsid w:val="22535CA8"/>
    <w:rsid w:val="227B6E3E"/>
    <w:rsid w:val="227E3DF2"/>
    <w:rsid w:val="228F6446"/>
    <w:rsid w:val="229C0B63"/>
    <w:rsid w:val="22A5210D"/>
    <w:rsid w:val="22A85759"/>
    <w:rsid w:val="22B61C24"/>
    <w:rsid w:val="22C32593"/>
    <w:rsid w:val="22CC769A"/>
    <w:rsid w:val="22F62969"/>
    <w:rsid w:val="22FB3BBE"/>
    <w:rsid w:val="2302130E"/>
    <w:rsid w:val="23024E6A"/>
    <w:rsid w:val="230C3F3A"/>
    <w:rsid w:val="230E38F1"/>
    <w:rsid w:val="231D427D"/>
    <w:rsid w:val="231F3C6E"/>
    <w:rsid w:val="23201794"/>
    <w:rsid w:val="23305E7B"/>
    <w:rsid w:val="23333DD5"/>
    <w:rsid w:val="233D5EA2"/>
    <w:rsid w:val="23467CA0"/>
    <w:rsid w:val="235002CB"/>
    <w:rsid w:val="235F050E"/>
    <w:rsid w:val="235F406A"/>
    <w:rsid w:val="23601B80"/>
    <w:rsid w:val="23865A9B"/>
    <w:rsid w:val="23983ADC"/>
    <w:rsid w:val="23AB6CEC"/>
    <w:rsid w:val="23BA5744"/>
    <w:rsid w:val="23D06D16"/>
    <w:rsid w:val="23D34A58"/>
    <w:rsid w:val="23DA1943"/>
    <w:rsid w:val="23EB7FF4"/>
    <w:rsid w:val="23F06432"/>
    <w:rsid w:val="23FA015D"/>
    <w:rsid w:val="24155BED"/>
    <w:rsid w:val="24194B61"/>
    <w:rsid w:val="2423153B"/>
    <w:rsid w:val="242E35E4"/>
    <w:rsid w:val="24371603"/>
    <w:rsid w:val="246456B0"/>
    <w:rsid w:val="24855D52"/>
    <w:rsid w:val="24BE1264"/>
    <w:rsid w:val="24C56B1E"/>
    <w:rsid w:val="24DD793C"/>
    <w:rsid w:val="24DE36B4"/>
    <w:rsid w:val="24EC53A9"/>
    <w:rsid w:val="252217F3"/>
    <w:rsid w:val="253634F0"/>
    <w:rsid w:val="253F0B12"/>
    <w:rsid w:val="256040C9"/>
    <w:rsid w:val="2567399D"/>
    <w:rsid w:val="25693AE6"/>
    <w:rsid w:val="256C2F1F"/>
    <w:rsid w:val="257A0227"/>
    <w:rsid w:val="25A267C7"/>
    <w:rsid w:val="25A62424"/>
    <w:rsid w:val="25BA5ED0"/>
    <w:rsid w:val="25D100D5"/>
    <w:rsid w:val="25D725DE"/>
    <w:rsid w:val="26137238"/>
    <w:rsid w:val="261F524F"/>
    <w:rsid w:val="26333C82"/>
    <w:rsid w:val="264834DB"/>
    <w:rsid w:val="264D28A0"/>
    <w:rsid w:val="266409AC"/>
    <w:rsid w:val="267A740D"/>
    <w:rsid w:val="26920BFA"/>
    <w:rsid w:val="26B50445"/>
    <w:rsid w:val="26BC50B8"/>
    <w:rsid w:val="26C2328E"/>
    <w:rsid w:val="26C32B62"/>
    <w:rsid w:val="27094895"/>
    <w:rsid w:val="27187478"/>
    <w:rsid w:val="272075E2"/>
    <w:rsid w:val="273D2914"/>
    <w:rsid w:val="274C0DA9"/>
    <w:rsid w:val="27897907"/>
    <w:rsid w:val="27A9199E"/>
    <w:rsid w:val="27B8643F"/>
    <w:rsid w:val="27D71417"/>
    <w:rsid w:val="27E15995"/>
    <w:rsid w:val="27E62FAC"/>
    <w:rsid w:val="27F1444B"/>
    <w:rsid w:val="27F66E2D"/>
    <w:rsid w:val="28094EEC"/>
    <w:rsid w:val="28252C7C"/>
    <w:rsid w:val="28277120"/>
    <w:rsid w:val="282D1362"/>
    <w:rsid w:val="282E4596"/>
    <w:rsid w:val="283A50A6"/>
    <w:rsid w:val="28414686"/>
    <w:rsid w:val="2852419D"/>
    <w:rsid w:val="2856161A"/>
    <w:rsid w:val="287C746C"/>
    <w:rsid w:val="289C366A"/>
    <w:rsid w:val="28B23E21"/>
    <w:rsid w:val="28CB21A2"/>
    <w:rsid w:val="28F33BD2"/>
    <w:rsid w:val="29001E4B"/>
    <w:rsid w:val="29534671"/>
    <w:rsid w:val="29573B4F"/>
    <w:rsid w:val="296F5223"/>
    <w:rsid w:val="298804A7"/>
    <w:rsid w:val="298E6156"/>
    <w:rsid w:val="299D58EC"/>
    <w:rsid w:val="29B47AA0"/>
    <w:rsid w:val="29E96707"/>
    <w:rsid w:val="29F15C38"/>
    <w:rsid w:val="2A0E209B"/>
    <w:rsid w:val="2A1E38A9"/>
    <w:rsid w:val="2A2C0A1E"/>
    <w:rsid w:val="2A3B6E5F"/>
    <w:rsid w:val="2A41064E"/>
    <w:rsid w:val="2A514A59"/>
    <w:rsid w:val="2A5D6A1E"/>
    <w:rsid w:val="2A74242B"/>
    <w:rsid w:val="2A954815"/>
    <w:rsid w:val="2A9D7A72"/>
    <w:rsid w:val="2AAB63D5"/>
    <w:rsid w:val="2AC628E0"/>
    <w:rsid w:val="2ACC6406"/>
    <w:rsid w:val="2ADB491E"/>
    <w:rsid w:val="2AE13EFE"/>
    <w:rsid w:val="2AE83B8F"/>
    <w:rsid w:val="2AF121CF"/>
    <w:rsid w:val="2AF14141"/>
    <w:rsid w:val="2B0100FD"/>
    <w:rsid w:val="2B041745"/>
    <w:rsid w:val="2B253DEB"/>
    <w:rsid w:val="2B6366C1"/>
    <w:rsid w:val="2B6568DD"/>
    <w:rsid w:val="2B6F2C13"/>
    <w:rsid w:val="2B7B3A0B"/>
    <w:rsid w:val="2B88437A"/>
    <w:rsid w:val="2B922289"/>
    <w:rsid w:val="2BC03B14"/>
    <w:rsid w:val="2BC5112A"/>
    <w:rsid w:val="2BD1318D"/>
    <w:rsid w:val="2BE07D12"/>
    <w:rsid w:val="2BF61D5B"/>
    <w:rsid w:val="2C0C0B07"/>
    <w:rsid w:val="2C0C4FAB"/>
    <w:rsid w:val="2C153E60"/>
    <w:rsid w:val="2C266B99"/>
    <w:rsid w:val="2C510677"/>
    <w:rsid w:val="2C5A6F31"/>
    <w:rsid w:val="2C673F8F"/>
    <w:rsid w:val="2C870973"/>
    <w:rsid w:val="2C90798A"/>
    <w:rsid w:val="2C923702"/>
    <w:rsid w:val="2C932FD6"/>
    <w:rsid w:val="2CA62D0A"/>
    <w:rsid w:val="2CAD4098"/>
    <w:rsid w:val="2CB95B41"/>
    <w:rsid w:val="2CD8060D"/>
    <w:rsid w:val="2CE90458"/>
    <w:rsid w:val="2CEB5EC8"/>
    <w:rsid w:val="2D03015C"/>
    <w:rsid w:val="2D04063A"/>
    <w:rsid w:val="2D132C28"/>
    <w:rsid w:val="2D142369"/>
    <w:rsid w:val="2D144117"/>
    <w:rsid w:val="2D510EC7"/>
    <w:rsid w:val="2D5C786C"/>
    <w:rsid w:val="2D5E1836"/>
    <w:rsid w:val="2D614E83"/>
    <w:rsid w:val="2D682308"/>
    <w:rsid w:val="2D6F7E3E"/>
    <w:rsid w:val="2D9D5DC3"/>
    <w:rsid w:val="2DB94CBF"/>
    <w:rsid w:val="2DBD655D"/>
    <w:rsid w:val="2DBE5C85"/>
    <w:rsid w:val="2DC84499"/>
    <w:rsid w:val="2DF16206"/>
    <w:rsid w:val="2DF27C57"/>
    <w:rsid w:val="2DF301D1"/>
    <w:rsid w:val="2DFB52D7"/>
    <w:rsid w:val="2DFF1F66"/>
    <w:rsid w:val="2E2E745B"/>
    <w:rsid w:val="2E311DCA"/>
    <w:rsid w:val="2E3A7A1B"/>
    <w:rsid w:val="2E471394"/>
    <w:rsid w:val="2E4722CA"/>
    <w:rsid w:val="2E4B3F42"/>
    <w:rsid w:val="2E4C168F"/>
    <w:rsid w:val="2E4E3659"/>
    <w:rsid w:val="2E56075F"/>
    <w:rsid w:val="2E6E58F3"/>
    <w:rsid w:val="2E6E7857"/>
    <w:rsid w:val="2E753E92"/>
    <w:rsid w:val="2E7B3D22"/>
    <w:rsid w:val="2E933762"/>
    <w:rsid w:val="2E951288"/>
    <w:rsid w:val="2EAD65D1"/>
    <w:rsid w:val="2ED64D0C"/>
    <w:rsid w:val="2EF00121"/>
    <w:rsid w:val="2EF2205D"/>
    <w:rsid w:val="2EF7784D"/>
    <w:rsid w:val="2EFB44E1"/>
    <w:rsid w:val="2F0026C8"/>
    <w:rsid w:val="2F0A3A24"/>
    <w:rsid w:val="2F162284"/>
    <w:rsid w:val="2F195A15"/>
    <w:rsid w:val="2F260132"/>
    <w:rsid w:val="2F4136BD"/>
    <w:rsid w:val="2F57653D"/>
    <w:rsid w:val="2F5C639F"/>
    <w:rsid w:val="2F7344D8"/>
    <w:rsid w:val="2F846602"/>
    <w:rsid w:val="2F880F16"/>
    <w:rsid w:val="2F9432ED"/>
    <w:rsid w:val="2F963509"/>
    <w:rsid w:val="2F9760F5"/>
    <w:rsid w:val="2FAB0637"/>
    <w:rsid w:val="2FB76FDC"/>
    <w:rsid w:val="2FD81E5A"/>
    <w:rsid w:val="2FDB2CCA"/>
    <w:rsid w:val="2FDB3389"/>
    <w:rsid w:val="2FDC41E9"/>
    <w:rsid w:val="2FDE27BA"/>
    <w:rsid w:val="2FE642F8"/>
    <w:rsid w:val="2FF3270A"/>
    <w:rsid w:val="2FF76FFC"/>
    <w:rsid w:val="301103D5"/>
    <w:rsid w:val="3013364C"/>
    <w:rsid w:val="30360848"/>
    <w:rsid w:val="303C37E8"/>
    <w:rsid w:val="304A7E50"/>
    <w:rsid w:val="304F36B8"/>
    <w:rsid w:val="305F7D9F"/>
    <w:rsid w:val="30600345"/>
    <w:rsid w:val="307A24E3"/>
    <w:rsid w:val="307C1B4E"/>
    <w:rsid w:val="30817D16"/>
    <w:rsid w:val="30896DF2"/>
    <w:rsid w:val="30901D07"/>
    <w:rsid w:val="30A752A2"/>
    <w:rsid w:val="30AB4799"/>
    <w:rsid w:val="30BB2774"/>
    <w:rsid w:val="30C540FC"/>
    <w:rsid w:val="30DA5678"/>
    <w:rsid w:val="30E97669"/>
    <w:rsid w:val="30EE2ED1"/>
    <w:rsid w:val="31024FC4"/>
    <w:rsid w:val="310C025B"/>
    <w:rsid w:val="31182852"/>
    <w:rsid w:val="311F308B"/>
    <w:rsid w:val="312132A7"/>
    <w:rsid w:val="3138414C"/>
    <w:rsid w:val="31476C65"/>
    <w:rsid w:val="314F680F"/>
    <w:rsid w:val="315868AA"/>
    <w:rsid w:val="31704C32"/>
    <w:rsid w:val="318555E4"/>
    <w:rsid w:val="3196466C"/>
    <w:rsid w:val="31A725E6"/>
    <w:rsid w:val="31A83F54"/>
    <w:rsid w:val="31AA504A"/>
    <w:rsid w:val="31AD5089"/>
    <w:rsid w:val="31B22151"/>
    <w:rsid w:val="31B50FBB"/>
    <w:rsid w:val="31B76B6A"/>
    <w:rsid w:val="31C13F27"/>
    <w:rsid w:val="321E77E6"/>
    <w:rsid w:val="32230959"/>
    <w:rsid w:val="3244724D"/>
    <w:rsid w:val="326571C3"/>
    <w:rsid w:val="32687F81"/>
    <w:rsid w:val="326C67A3"/>
    <w:rsid w:val="32AB5BFF"/>
    <w:rsid w:val="32BF2D77"/>
    <w:rsid w:val="32C1262F"/>
    <w:rsid w:val="32C263C3"/>
    <w:rsid w:val="32CE6D0B"/>
    <w:rsid w:val="32D44E75"/>
    <w:rsid w:val="32F742BF"/>
    <w:rsid w:val="32FC18D5"/>
    <w:rsid w:val="32FC617B"/>
    <w:rsid w:val="330B7D6A"/>
    <w:rsid w:val="330C763F"/>
    <w:rsid w:val="33146EB1"/>
    <w:rsid w:val="3316226B"/>
    <w:rsid w:val="332B21BB"/>
    <w:rsid w:val="333C7F24"/>
    <w:rsid w:val="33542854"/>
    <w:rsid w:val="336A4282"/>
    <w:rsid w:val="3375448B"/>
    <w:rsid w:val="33883B0D"/>
    <w:rsid w:val="338E093F"/>
    <w:rsid w:val="33941B0E"/>
    <w:rsid w:val="33961284"/>
    <w:rsid w:val="339C7C96"/>
    <w:rsid w:val="33A74D6B"/>
    <w:rsid w:val="33C03D5F"/>
    <w:rsid w:val="33E16D1D"/>
    <w:rsid w:val="33F7209D"/>
    <w:rsid w:val="341A57CF"/>
    <w:rsid w:val="341F5028"/>
    <w:rsid w:val="342866FA"/>
    <w:rsid w:val="34394463"/>
    <w:rsid w:val="344828F8"/>
    <w:rsid w:val="345117AD"/>
    <w:rsid w:val="345C645D"/>
    <w:rsid w:val="34645565"/>
    <w:rsid w:val="34764C40"/>
    <w:rsid w:val="34850BF6"/>
    <w:rsid w:val="34895B74"/>
    <w:rsid w:val="34897199"/>
    <w:rsid w:val="349873DC"/>
    <w:rsid w:val="34AC10D9"/>
    <w:rsid w:val="34D16D92"/>
    <w:rsid w:val="34D96889"/>
    <w:rsid w:val="34E6745F"/>
    <w:rsid w:val="34E84393"/>
    <w:rsid w:val="34EF0FC6"/>
    <w:rsid w:val="34F32864"/>
    <w:rsid w:val="34F50944"/>
    <w:rsid w:val="35252BA6"/>
    <w:rsid w:val="35534DCF"/>
    <w:rsid w:val="35737465"/>
    <w:rsid w:val="358116C9"/>
    <w:rsid w:val="3586192A"/>
    <w:rsid w:val="35A61FCC"/>
    <w:rsid w:val="35AD7B20"/>
    <w:rsid w:val="35C16E06"/>
    <w:rsid w:val="35CB6DA9"/>
    <w:rsid w:val="35CE1C7B"/>
    <w:rsid w:val="360202CE"/>
    <w:rsid w:val="361C228F"/>
    <w:rsid w:val="364041CF"/>
    <w:rsid w:val="36421CF5"/>
    <w:rsid w:val="364C4922"/>
    <w:rsid w:val="367475A2"/>
    <w:rsid w:val="368B585E"/>
    <w:rsid w:val="369342FF"/>
    <w:rsid w:val="36A54032"/>
    <w:rsid w:val="36B129D7"/>
    <w:rsid w:val="36BD5820"/>
    <w:rsid w:val="36C95F72"/>
    <w:rsid w:val="36CD3F27"/>
    <w:rsid w:val="36D52B69"/>
    <w:rsid w:val="36E61590"/>
    <w:rsid w:val="36EE3C2B"/>
    <w:rsid w:val="370856BE"/>
    <w:rsid w:val="371B42F4"/>
    <w:rsid w:val="372226B2"/>
    <w:rsid w:val="37362EDC"/>
    <w:rsid w:val="373F5BE4"/>
    <w:rsid w:val="373F6235"/>
    <w:rsid w:val="374455F9"/>
    <w:rsid w:val="374804C8"/>
    <w:rsid w:val="374C2700"/>
    <w:rsid w:val="377C4D93"/>
    <w:rsid w:val="378D51F2"/>
    <w:rsid w:val="37A147F9"/>
    <w:rsid w:val="37A5230C"/>
    <w:rsid w:val="37AB357A"/>
    <w:rsid w:val="37AD5068"/>
    <w:rsid w:val="37AD7642"/>
    <w:rsid w:val="37B81B43"/>
    <w:rsid w:val="37C71330"/>
    <w:rsid w:val="37D90437"/>
    <w:rsid w:val="37DB4A42"/>
    <w:rsid w:val="37FF1366"/>
    <w:rsid w:val="380145D0"/>
    <w:rsid w:val="38115CFF"/>
    <w:rsid w:val="382316B2"/>
    <w:rsid w:val="382B0567"/>
    <w:rsid w:val="384F4255"/>
    <w:rsid w:val="385201EA"/>
    <w:rsid w:val="38675A43"/>
    <w:rsid w:val="386F165D"/>
    <w:rsid w:val="386F173E"/>
    <w:rsid w:val="387868AB"/>
    <w:rsid w:val="388163D9"/>
    <w:rsid w:val="3889424C"/>
    <w:rsid w:val="388C36FB"/>
    <w:rsid w:val="38995E18"/>
    <w:rsid w:val="389B56ED"/>
    <w:rsid w:val="38B75845"/>
    <w:rsid w:val="38CE0C9F"/>
    <w:rsid w:val="38D239B0"/>
    <w:rsid w:val="38EA21D0"/>
    <w:rsid w:val="38F42D23"/>
    <w:rsid w:val="38FB43DD"/>
    <w:rsid w:val="39050DB8"/>
    <w:rsid w:val="391D25A6"/>
    <w:rsid w:val="39203E44"/>
    <w:rsid w:val="39237490"/>
    <w:rsid w:val="392D09DC"/>
    <w:rsid w:val="394E275F"/>
    <w:rsid w:val="396B72C2"/>
    <w:rsid w:val="39AE31FE"/>
    <w:rsid w:val="39B238E3"/>
    <w:rsid w:val="39B8407C"/>
    <w:rsid w:val="39CB2002"/>
    <w:rsid w:val="39CB3CEF"/>
    <w:rsid w:val="39E239E3"/>
    <w:rsid w:val="39EC3DED"/>
    <w:rsid w:val="39F94DC1"/>
    <w:rsid w:val="39FC21BB"/>
    <w:rsid w:val="39FF7EFD"/>
    <w:rsid w:val="3A1F5EA9"/>
    <w:rsid w:val="3A211C22"/>
    <w:rsid w:val="3A2160C5"/>
    <w:rsid w:val="3A2F14BF"/>
    <w:rsid w:val="3A314864"/>
    <w:rsid w:val="3A377697"/>
    <w:rsid w:val="3A3C72F7"/>
    <w:rsid w:val="3A4A1295"/>
    <w:rsid w:val="3A5D7F78"/>
    <w:rsid w:val="3A8521B0"/>
    <w:rsid w:val="3AA52853"/>
    <w:rsid w:val="3AB71C84"/>
    <w:rsid w:val="3ABD5DEE"/>
    <w:rsid w:val="3AC24748"/>
    <w:rsid w:val="3ADE5D64"/>
    <w:rsid w:val="3AED6096"/>
    <w:rsid w:val="3AF47336"/>
    <w:rsid w:val="3B160363"/>
    <w:rsid w:val="3B32189F"/>
    <w:rsid w:val="3B4055D1"/>
    <w:rsid w:val="3B710987"/>
    <w:rsid w:val="3B75E1A7"/>
    <w:rsid w:val="3BA1126C"/>
    <w:rsid w:val="3BB24556"/>
    <w:rsid w:val="3BC74A4B"/>
    <w:rsid w:val="3BE85286"/>
    <w:rsid w:val="3BFD796B"/>
    <w:rsid w:val="3C261771"/>
    <w:rsid w:val="3C487939"/>
    <w:rsid w:val="3C4C0D04"/>
    <w:rsid w:val="3C4D6CFE"/>
    <w:rsid w:val="3C7B724B"/>
    <w:rsid w:val="3C823C3A"/>
    <w:rsid w:val="3CA23CE9"/>
    <w:rsid w:val="3CA27965"/>
    <w:rsid w:val="3CA803D8"/>
    <w:rsid w:val="3CAA23A2"/>
    <w:rsid w:val="3CAD5002"/>
    <w:rsid w:val="3CB06B0D"/>
    <w:rsid w:val="3CCD0347"/>
    <w:rsid w:val="3CCF1E09"/>
    <w:rsid w:val="3CEB270A"/>
    <w:rsid w:val="3CFC24D2"/>
    <w:rsid w:val="3D0650CB"/>
    <w:rsid w:val="3D1F7EE2"/>
    <w:rsid w:val="3D2A287E"/>
    <w:rsid w:val="3D2F73B3"/>
    <w:rsid w:val="3D3F6F8E"/>
    <w:rsid w:val="3D3FA587"/>
    <w:rsid w:val="3D4C3459"/>
    <w:rsid w:val="3D527F48"/>
    <w:rsid w:val="3D5FB03F"/>
    <w:rsid w:val="3D606F05"/>
    <w:rsid w:val="3D6A7D83"/>
    <w:rsid w:val="3D711112"/>
    <w:rsid w:val="3D7115B5"/>
    <w:rsid w:val="3D96371E"/>
    <w:rsid w:val="3DA206BF"/>
    <w:rsid w:val="3DA2751D"/>
    <w:rsid w:val="3DA721EC"/>
    <w:rsid w:val="3DC01751"/>
    <w:rsid w:val="3DD22267"/>
    <w:rsid w:val="3DDD6AEB"/>
    <w:rsid w:val="3DE511B8"/>
    <w:rsid w:val="3DE6740A"/>
    <w:rsid w:val="3DF064DB"/>
    <w:rsid w:val="3DF0692C"/>
    <w:rsid w:val="3DF15DAF"/>
    <w:rsid w:val="3E18333B"/>
    <w:rsid w:val="3E1F0B6E"/>
    <w:rsid w:val="3E1F4893"/>
    <w:rsid w:val="3E3068D7"/>
    <w:rsid w:val="3E3B7AC1"/>
    <w:rsid w:val="3E700CFC"/>
    <w:rsid w:val="3E9554D2"/>
    <w:rsid w:val="3EAD43CC"/>
    <w:rsid w:val="3ECF60F0"/>
    <w:rsid w:val="3EFD561D"/>
    <w:rsid w:val="3F010273"/>
    <w:rsid w:val="3F154497"/>
    <w:rsid w:val="3F165ACD"/>
    <w:rsid w:val="3F2226C4"/>
    <w:rsid w:val="3F3423F7"/>
    <w:rsid w:val="3F3919B5"/>
    <w:rsid w:val="3F4343E8"/>
    <w:rsid w:val="3F4A39C9"/>
    <w:rsid w:val="3F5C1D95"/>
    <w:rsid w:val="3F61507A"/>
    <w:rsid w:val="3F731171"/>
    <w:rsid w:val="3F7E23DE"/>
    <w:rsid w:val="3F815C72"/>
    <w:rsid w:val="3F994C91"/>
    <w:rsid w:val="3FAB7F63"/>
    <w:rsid w:val="3FAC01DF"/>
    <w:rsid w:val="3FB11C9A"/>
    <w:rsid w:val="3FBA0B4E"/>
    <w:rsid w:val="3FC128CE"/>
    <w:rsid w:val="3FEE6363"/>
    <w:rsid w:val="3FF5DC59"/>
    <w:rsid w:val="3FFE36FD"/>
    <w:rsid w:val="40134A65"/>
    <w:rsid w:val="40267944"/>
    <w:rsid w:val="4028745E"/>
    <w:rsid w:val="40322DDA"/>
    <w:rsid w:val="403F6E49"/>
    <w:rsid w:val="40460634"/>
    <w:rsid w:val="4057639D"/>
    <w:rsid w:val="40583440"/>
    <w:rsid w:val="406E7B8B"/>
    <w:rsid w:val="408847A8"/>
    <w:rsid w:val="40A35A86"/>
    <w:rsid w:val="40A84E4B"/>
    <w:rsid w:val="40A86CD1"/>
    <w:rsid w:val="40B557B9"/>
    <w:rsid w:val="40B57568"/>
    <w:rsid w:val="40BB2DD0"/>
    <w:rsid w:val="40C15F0C"/>
    <w:rsid w:val="40CB4769"/>
    <w:rsid w:val="40D953B2"/>
    <w:rsid w:val="410D4CAE"/>
    <w:rsid w:val="411778ED"/>
    <w:rsid w:val="413D5BB8"/>
    <w:rsid w:val="416F4BC3"/>
    <w:rsid w:val="418A7597"/>
    <w:rsid w:val="41962EF5"/>
    <w:rsid w:val="41986C6D"/>
    <w:rsid w:val="41994793"/>
    <w:rsid w:val="41A04200"/>
    <w:rsid w:val="41D83E0A"/>
    <w:rsid w:val="41DD0B24"/>
    <w:rsid w:val="41F30347"/>
    <w:rsid w:val="421B33FA"/>
    <w:rsid w:val="4220362C"/>
    <w:rsid w:val="42277782"/>
    <w:rsid w:val="42291FBB"/>
    <w:rsid w:val="42360234"/>
    <w:rsid w:val="428B4A24"/>
    <w:rsid w:val="42983E74"/>
    <w:rsid w:val="42AB0C22"/>
    <w:rsid w:val="42B850ED"/>
    <w:rsid w:val="42EA174A"/>
    <w:rsid w:val="430A1DED"/>
    <w:rsid w:val="43325174"/>
    <w:rsid w:val="433429C6"/>
    <w:rsid w:val="43350346"/>
    <w:rsid w:val="434E5F66"/>
    <w:rsid w:val="43607C5E"/>
    <w:rsid w:val="437E1E93"/>
    <w:rsid w:val="437F619A"/>
    <w:rsid w:val="438A0837"/>
    <w:rsid w:val="43B0003D"/>
    <w:rsid w:val="43B60B9D"/>
    <w:rsid w:val="43E048FB"/>
    <w:rsid w:val="43E225EF"/>
    <w:rsid w:val="43E837B0"/>
    <w:rsid w:val="43EF0FE2"/>
    <w:rsid w:val="43FE2FD4"/>
    <w:rsid w:val="4453573F"/>
    <w:rsid w:val="445F0A27"/>
    <w:rsid w:val="446B68BB"/>
    <w:rsid w:val="446F427D"/>
    <w:rsid w:val="4476700E"/>
    <w:rsid w:val="44950E4C"/>
    <w:rsid w:val="449F012E"/>
    <w:rsid w:val="44BE4747"/>
    <w:rsid w:val="44C47D79"/>
    <w:rsid w:val="44DC1567"/>
    <w:rsid w:val="44E33798"/>
    <w:rsid w:val="44FC7513"/>
    <w:rsid w:val="451F6DE1"/>
    <w:rsid w:val="45303661"/>
    <w:rsid w:val="45324D44"/>
    <w:rsid w:val="4541761C"/>
    <w:rsid w:val="45450389"/>
    <w:rsid w:val="45545A62"/>
    <w:rsid w:val="4597723C"/>
    <w:rsid w:val="45A05468"/>
    <w:rsid w:val="45A47F1A"/>
    <w:rsid w:val="45C877EA"/>
    <w:rsid w:val="45C87C18"/>
    <w:rsid w:val="45F538D3"/>
    <w:rsid w:val="46004DE1"/>
    <w:rsid w:val="46084651"/>
    <w:rsid w:val="461026A2"/>
    <w:rsid w:val="46250CEB"/>
    <w:rsid w:val="46340F2E"/>
    <w:rsid w:val="464707A6"/>
    <w:rsid w:val="46916381"/>
    <w:rsid w:val="46A44F19"/>
    <w:rsid w:val="46A75BA4"/>
    <w:rsid w:val="46AD66B5"/>
    <w:rsid w:val="46C40504"/>
    <w:rsid w:val="46D00C57"/>
    <w:rsid w:val="46D45337"/>
    <w:rsid w:val="46DB6535"/>
    <w:rsid w:val="46FF5572"/>
    <w:rsid w:val="47025820"/>
    <w:rsid w:val="474935A7"/>
    <w:rsid w:val="474C0428"/>
    <w:rsid w:val="475353E4"/>
    <w:rsid w:val="475F022D"/>
    <w:rsid w:val="476C3924"/>
    <w:rsid w:val="476E3026"/>
    <w:rsid w:val="477E4B57"/>
    <w:rsid w:val="478101A3"/>
    <w:rsid w:val="47857C94"/>
    <w:rsid w:val="47A619B8"/>
    <w:rsid w:val="47A81BD4"/>
    <w:rsid w:val="47B05F6F"/>
    <w:rsid w:val="47DD7860"/>
    <w:rsid w:val="47EE76E1"/>
    <w:rsid w:val="481661B4"/>
    <w:rsid w:val="481C26D0"/>
    <w:rsid w:val="482C080A"/>
    <w:rsid w:val="48541414"/>
    <w:rsid w:val="4871499F"/>
    <w:rsid w:val="48897310"/>
    <w:rsid w:val="48A56114"/>
    <w:rsid w:val="48AF0E76"/>
    <w:rsid w:val="48B8499E"/>
    <w:rsid w:val="48D02465"/>
    <w:rsid w:val="490329CE"/>
    <w:rsid w:val="490E7EE8"/>
    <w:rsid w:val="491B48B5"/>
    <w:rsid w:val="493A685C"/>
    <w:rsid w:val="49496A9F"/>
    <w:rsid w:val="496658A3"/>
    <w:rsid w:val="496901FF"/>
    <w:rsid w:val="4969326E"/>
    <w:rsid w:val="496B110B"/>
    <w:rsid w:val="496D4E83"/>
    <w:rsid w:val="497B4FDF"/>
    <w:rsid w:val="49894E89"/>
    <w:rsid w:val="49973000"/>
    <w:rsid w:val="499845B9"/>
    <w:rsid w:val="499E6DEB"/>
    <w:rsid w:val="49B84223"/>
    <w:rsid w:val="49B95424"/>
    <w:rsid w:val="49CF1477"/>
    <w:rsid w:val="49DC63B7"/>
    <w:rsid w:val="49E56E4C"/>
    <w:rsid w:val="49E80350"/>
    <w:rsid w:val="49EB1EDE"/>
    <w:rsid w:val="49EC00EB"/>
    <w:rsid w:val="49F92273"/>
    <w:rsid w:val="49FE3D2D"/>
    <w:rsid w:val="4A1C41B3"/>
    <w:rsid w:val="4A1E7F2C"/>
    <w:rsid w:val="4A26354B"/>
    <w:rsid w:val="4A7F4E6E"/>
    <w:rsid w:val="4A871F75"/>
    <w:rsid w:val="4A973DEA"/>
    <w:rsid w:val="4AEB6FAF"/>
    <w:rsid w:val="4B04293D"/>
    <w:rsid w:val="4B1B26BD"/>
    <w:rsid w:val="4B215F25"/>
    <w:rsid w:val="4B230419"/>
    <w:rsid w:val="4B2332F0"/>
    <w:rsid w:val="4B277054"/>
    <w:rsid w:val="4B3A6759"/>
    <w:rsid w:val="4B41375A"/>
    <w:rsid w:val="4B4439C2"/>
    <w:rsid w:val="4B49031F"/>
    <w:rsid w:val="4B572F69"/>
    <w:rsid w:val="4B9366F7"/>
    <w:rsid w:val="4BA77C24"/>
    <w:rsid w:val="4BA95F1B"/>
    <w:rsid w:val="4BCF5981"/>
    <w:rsid w:val="4BD05255"/>
    <w:rsid w:val="4BF259AA"/>
    <w:rsid w:val="4BFE57C0"/>
    <w:rsid w:val="4C06511B"/>
    <w:rsid w:val="4C0B2C3C"/>
    <w:rsid w:val="4C17726F"/>
    <w:rsid w:val="4C485734"/>
    <w:rsid w:val="4C6C4800"/>
    <w:rsid w:val="4C7721AE"/>
    <w:rsid w:val="4CA24E44"/>
    <w:rsid w:val="4CAA5AA7"/>
    <w:rsid w:val="4CAF130F"/>
    <w:rsid w:val="4CBB5F06"/>
    <w:rsid w:val="4CCF74E6"/>
    <w:rsid w:val="4CEA2347"/>
    <w:rsid w:val="4CEE1E37"/>
    <w:rsid w:val="4D0275C0"/>
    <w:rsid w:val="4D03064C"/>
    <w:rsid w:val="4D111FCA"/>
    <w:rsid w:val="4D3F08E5"/>
    <w:rsid w:val="4D4C3002"/>
    <w:rsid w:val="4D4E28D6"/>
    <w:rsid w:val="4D4E6D7A"/>
    <w:rsid w:val="4D7A2467"/>
    <w:rsid w:val="4DBA3680"/>
    <w:rsid w:val="4DC332C4"/>
    <w:rsid w:val="4DD827C4"/>
    <w:rsid w:val="4DE04E3F"/>
    <w:rsid w:val="4DF109D9"/>
    <w:rsid w:val="4DFF172B"/>
    <w:rsid w:val="4E0B4C6B"/>
    <w:rsid w:val="4E255D2C"/>
    <w:rsid w:val="4E557C94"/>
    <w:rsid w:val="4E5C1022"/>
    <w:rsid w:val="4E683E6B"/>
    <w:rsid w:val="4E8C7B5A"/>
    <w:rsid w:val="4E8D087F"/>
    <w:rsid w:val="4E8D420E"/>
    <w:rsid w:val="4E8E56DF"/>
    <w:rsid w:val="4E93713A"/>
    <w:rsid w:val="4E980358"/>
    <w:rsid w:val="4EA87491"/>
    <w:rsid w:val="4EAC01FC"/>
    <w:rsid w:val="4EB70C79"/>
    <w:rsid w:val="4EC5306C"/>
    <w:rsid w:val="4EC74659"/>
    <w:rsid w:val="4ED80FF1"/>
    <w:rsid w:val="4EE51018"/>
    <w:rsid w:val="4EFE708D"/>
    <w:rsid w:val="4F0B3174"/>
    <w:rsid w:val="4F0C2A48"/>
    <w:rsid w:val="4F1B2C8C"/>
    <w:rsid w:val="4F251D5C"/>
    <w:rsid w:val="4F2E0C11"/>
    <w:rsid w:val="4F400944"/>
    <w:rsid w:val="4F4B3FEF"/>
    <w:rsid w:val="4F5D5052"/>
    <w:rsid w:val="4F6C34E7"/>
    <w:rsid w:val="4F764366"/>
    <w:rsid w:val="4F794596"/>
    <w:rsid w:val="4F894099"/>
    <w:rsid w:val="4FA26F09"/>
    <w:rsid w:val="4FC275AB"/>
    <w:rsid w:val="4FC6709B"/>
    <w:rsid w:val="4FD74E04"/>
    <w:rsid w:val="4FE63299"/>
    <w:rsid w:val="4FE84271"/>
    <w:rsid w:val="4FF311E7"/>
    <w:rsid w:val="502D388B"/>
    <w:rsid w:val="50354820"/>
    <w:rsid w:val="50372DAC"/>
    <w:rsid w:val="503949B1"/>
    <w:rsid w:val="50502E09"/>
    <w:rsid w:val="505F15F1"/>
    <w:rsid w:val="506D7517"/>
    <w:rsid w:val="50746AF7"/>
    <w:rsid w:val="50780852"/>
    <w:rsid w:val="507B4F07"/>
    <w:rsid w:val="50854860"/>
    <w:rsid w:val="508A0C46"/>
    <w:rsid w:val="508D7BB9"/>
    <w:rsid w:val="50923421"/>
    <w:rsid w:val="50A3118B"/>
    <w:rsid w:val="50AD4A44"/>
    <w:rsid w:val="50AE54AA"/>
    <w:rsid w:val="50CC566A"/>
    <w:rsid w:val="50EB0496"/>
    <w:rsid w:val="50ED2217"/>
    <w:rsid w:val="50F76FB4"/>
    <w:rsid w:val="50F814D6"/>
    <w:rsid w:val="50FD4D3F"/>
    <w:rsid w:val="510501AA"/>
    <w:rsid w:val="511339AB"/>
    <w:rsid w:val="512E314A"/>
    <w:rsid w:val="51341E7C"/>
    <w:rsid w:val="51475A1B"/>
    <w:rsid w:val="51527A4D"/>
    <w:rsid w:val="515D57DD"/>
    <w:rsid w:val="51624BA2"/>
    <w:rsid w:val="517B280A"/>
    <w:rsid w:val="517E2246"/>
    <w:rsid w:val="518C1BE9"/>
    <w:rsid w:val="518F170F"/>
    <w:rsid w:val="5196484B"/>
    <w:rsid w:val="51A011D5"/>
    <w:rsid w:val="51AE7AFA"/>
    <w:rsid w:val="51B82A69"/>
    <w:rsid w:val="51C413B8"/>
    <w:rsid w:val="51C8534D"/>
    <w:rsid w:val="51CE2237"/>
    <w:rsid w:val="51DF2696"/>
    <w:rsid w:val="51EB64E1"/>
    <w:rsid w:val="51F85506"/>
    <w:rsid w:val="523E26FD"/>
    <w:rsid w:val="524E5126"/>
    <w:rsid w:val="52536456"/>
    <w:rsid w:val="52575DC7"/>
    <w:rsid w:val="526861E8"/>
    <w:rsid w:val="527458A5"/>
    <w:rsid w:val="527F3531"/>
    <w:rsid w:val="52A33CC2"/>
    <w:rsid w:val="52AE6907"/>
    <w:rsid w:val="52C553E8"/>
    <w:rsid w:val="52D01FDF"/>
    <w:rsid w:val="52D9438B"/>
    <w:rsid w:val="52E37CA2"/>
    <w:rsid w:val="52ED2B91"/>
    <w:rsid w:val="52F12681"/>
    <w:rsid w:val="530F48B5"/>
    <w:rsid w:val="532661FA"/>
    <w:rsid w:val="5330756D"/>
    <w:rsid w:val="533B4C96"/>
    <w:rsid w:val="536746F1"/>
    <w:rsid w:val="536A2433"/>
    <w:rsid w:val="53733096"/>
    <w:rsid w:val="5388730F"/>
    <w:rsid w:val="53B316E5"/>
    <w:rsid w:val="53B36B40"/>
    <w:rsid w:val="53B37937"/>
    <w:rsid w:val="54064619"/>
    <w:rsid w:val="54186AD1"/>
    <w:rsid w:val="541A1764"/>
    <w:rsid w:val="542D593B"/>
    <w:rsid w:val="542F4270"/>
    <w:rsid w:val="54423DEC"/>
    <w:rsid w:val="54703A7A"/>
    <w:rsid w:val="547551B7"/>
    <w:rsid w:val="54912C48"/>
    <w:rsid w:val="549902D9"/>
    <w:rsid w:val="54A70874"/>
    <w:rsid w:val="54BA6AA3"/>
    <w:rsid w:val="54F9581D"/>
    <w:rsid w:val="55093145"/>
    <w:rsid w:val="550C1609"/>
    <w:rsid w:val="550F3292"/>
    <w:rsid w:val="5553722E"/>
    <w:rsid w:val="555D2250"/>
    <w:rsid w:val="556E4230"/>
    <w:rsid w:val="55796BB6"/>
    <w:rsid w:val="5594129E"/>
    <w:rsid w:val="55A600A3"/>
    <w:rsid w:val="55B1434A"/>
    <w:rsid w:val="55C91693"/>
    <w:rsid w:val="55CA3F09"/>
    <w:rsid w:val="55D16F8A"/>
    <w:rsid w:val="55D342C0"/>
    <w:rsid w:val="55DE343A"/>
    <w:rsid w:val="55E53FF3"/>
    <w:rsid w:val="55E95892"/>
    <w:rsid w:val="55EC35D4"/>
    <w:rsid w:val="56024BA5"/>
    <w:rsid w:val="5607670F"/>
    <w:rsid w:val="5686131C"/>
    <w:rsid w:val="56862D71"/>
    <w:rsid w:val="56903F5F"/>
    <w:rsid w:val="56955A19"/>
    <w:rsid w:val="56A966E5"/>
    <w:rsid w:val="56AB2B47"/>
    <w:rsid w:val="56C37E91"/>
    <w:rsid w:val="56C6773D"/>
    <w:rsid w:val="56D4209E"/>
    <w:rsid w:val="56D7107D"/>
    <w:rsid w:val="56D945F9"/>
    <w:rsid w:val="56F50266"/>
    <w:rsid w:val="56FE711B"/>
    <w:rsid w:val="57072EFF"/>
    <w:rsid w:val="570861EB"/>
    <w:rsid w:val="57087F99"/>
    <w:rsid w:val="571F51B6"/>
    <w:rsid w:val="57256D9D"/>
    <w:rsid w:val="57295295"/>
    <w:rsid w:val="572A7F10"/>
    <w:rsid w:val="573B7B81"/>
    <w:rsid w:val="574904E0"/>
    <w:rsid w:val="57515C02"/>
    <w:rsid w:val="5753390A"/>
    <w:rsid w:val="57544F8D"/>
    <w:rsid w:val="575E22AF"/>
    <w:rsid w:val="57632AF2"/>
    <w:rsid w:val="576C0528"/>
    <w:rsid w:val="57851FA6"/>
    <w:rsid w:val="578E229B"/>
    <w:rsid w:val="57B17291"/>
    <w:rsid w:val="57BA548D"/>
    <w:rsid w:val="57CD0366"/>
    <w:rsid w:val="57D61E46"/>
    <w:rsid w:val="57E60B16"/>
    <w:rsid w:val="57EA769F"/>
    <w:rsid w:val="57F87AFA"/>
    <w:rsid w:val="57FD3697"/>
    <w:rsid w:val="57FF3AE8"/>
    <w:rsid w:val="580E1AE6"/>
    <w:rsid w:val="581467E7"/>
    <w:rsid w:val="581A7F84"/>
    <w:rsid w:val="581D163F"/>
    <w:rsid w:val="582242BA"/>
    <w:rsid w:val="58406E72"/>
    <w:rsid w:val="584F49F5"/>
    <w:rsid w:val="587B206E"/>
    <w:rsid w:val="587D6765"/>
    <w:rsid w:val="588D419D"/>
    <w:rsid w:val="58B303D9"/>
    <w:rsid w:val="58CE6FC1"/>
    <w:rsid w:val="58E2735A"/>
    <w:rsid w:val="58EF07EE"/>
    <w:rsid w:val="59036C6A"/>
    <w:rsid w:val="5929749B"/>
    <w:rsid w:val="592E0996"/>
    <w:rsid w:val="59312C78"/>
    <w:rsid w:val="593E60B9"/>
    <w:rsid w:val="593E63D5"/>
    <w:rsid w:val="595E0345"/>
    <w:rsid w:val="59723DF0"/>
    <w:rsid w:val="5980475F"/>
    <w:rsid w:val="598558D1"/>
    <w:rsid w:val="598D29D8"/>
    <w:rsid w:val="59933B19"/>
    <w:rsid w:val="599C4B94"/>
    <w:rsid w:val="59BB7545"/>
    <w:rsid w:val="59DF76D7"/>
    <w:rsid w:val="59E3084A"/>
    <w:rsid w:val="5A034935"/>
    <w:rsid w:val="5A0E3B19"/>
    <w:rsid w:val="5A1629CD"/>
    <w:rsid w:val="5A5D23AA"/>
    <w:rsid w:val="5A6D267C"/>
    <w:rsid w:val="5A7D1BAF"/>
    <w:rsid w:val="5A8913F1"/>
    <w:rsid w:val="5A8E4D50"/>
    <w:rsid w:val="5A9658BC"/>
    <w:rsid w:val="5AA1673B"/>
    <w:rsid w:val="5ABA3CA0"/>
    <w:rsid w:val="5AC27505"/>
    <w:rsid w:val="5AD84127"/>
    <w:rsid w:val="5ADA6C33"/>
    <w:rsid w:val="5ADF54B5"/>
    <w:rsid w:val="5AF0321E"/>
    <w:rsid w:val="5AFC2369"/>
    <w:rsid w:val="5B157129"/>
    <w:rsid w:val="5B2B24A8"/>
    <w:rsid w:val="5B33135D"/>
    <w:rsid w:val="5B414886"/>
    <w:rsid w:val="5B6C5CF7"/>
    <w:rsid w:val="5B6D0D13"/>
    <w:rsid w:val="5B922527"/>
    <w:rsid w:val="5BA04C44"/>
    <w:rsid w:val="5BB26726"/>
    <w:rsid w:val="5BB85CFC"/>
    <w:rsid w:val="5BBE331C"/>
    <w:rsid w:val="5BD0715C"/>
    <w:rsid w:val="5BD62414"/>
    <w:rsid w:val="5BDE6C6C"/>
    <w:rsid w:val="5BE03293"/>
    <w:rsid w:val="5BEA2363"/>
    <w:rsid w:val="5BED4DA3"/>
    <w:rsid w:val="5BEF13D0"/>
    <w:rsid w:val="5BF136F2"/>
    <w:rsid w:val="5C05719D"/>
    <w:rsid w:val="5C0C22DA"/>
    <w:rsid w:val="5C1318BA"/>
    <w:rsid w:val="5C1D6295"/>
    <w:rsid w:val="5C1D6632"/>
    <w:rsid w:val="5C2F421A"/>
    <w:rsid w:val="5C5773BA"/>
    <w:rsid w:val="5C653798"/>
    <w:rsid w:val="5C746B6C"/>
    <w:rsid w:val="5C8005D2"/>
    <w:rsid w:val="5CB07109"/>
    <w:rsid w:val="5CB269C6"/>
    <w:rsid w:val="5CC34DCC"/>
    <w:rsid w:val="5CC93D27"/>
    <w:rsid w:val="5CDF354A"/>
    <w:rsid w:val="5CEC5C67"/>
    <w:rsid w:val="5CEE7C31"/>
    <w:rsid w:val="5CF72ED4"/>
    <w:rsid w:val="5D20065F"/>
    <w:rsid w:val="5D2607A2"/>
    <w:rsid w:val="5D2D2059"/>
    <w:rsid w:val="5D373386"/>
    <w:rsid w:val="5D3970FE"/>
    <w:rsid w:val="5D422C5E"/>
    <w:rsid w:val="5D553428"/>
    <w:rsid w:val="5D9640B1"/>
    <w:rsid w:val="5DA01B6A"/>
    <w:rsid w:val="5DA87DE0"/>
    <w:rsid w:val="5DC17786"/>
    <w:rsid w:val="5DD46E27"/>
    <w:rsid w:val="5DD5494D"/>
    <w:rsid w:val="5DE67C05"/>
    <w:rsid w:val="5DE80B25"/>
    <w:rsid w:val="5DEF1EB3"/>
    <w:rsid w:val="5E15136C"/>
    <w:rsid w:val="5E224037"/>
    <w:rsid w:val="5E340778"/>
    <w:rsid w:val="5E4A63DD"/>
    <w:rsid w:val="5E4C5250"/>
    <w:rsid w:val="5E59557E"/>
    <w:rsid w:val="5E650864"/>
    <w:rsid w:val="5E8D214A"/>
    <w:rsid w:val="5E8F0FA0"/>
    <w:rsid w:val="5E8F1A03"/>
    <w:rsid w:val="5E9E077F"/>
    <w:rsid w:val="5EA26F25"/>
    <w:rsid w:val="5F0E45BB"/>
    <w:rsid w:val="5F1119B5"/>
    <w:rsid w:val="5F1E40A0"/>
    <w:rsid w:val="5F2153BC"/>
    <w:rsid w:val="5F222347"/>
    <w:rsid w:val="5F3E5B12"/>
    <w:rsid w:val="5F3F4774"/>
    <w:rsid w:val="5F5B1987"/>
    <w:rsid w:val="5F64165F"/>
    <w:rsid w:val="5F69359F"/>
    <w:rsid w:val="5F860DC8"/>
    <w:rsid w:val="5F883B2B"/>
    <w:rsid w:val="5F8E2E2A"/>
    <w:rsid w:val="5FA46055"/>
    <w:rsid w:val="5FA754D1"/>
    <w:rsid w:val="5FA851F8"/>
    <w:rsid w:val="5FB11279"/>
    <w:rsid w:val="5FC41665"/>
    <w:rsid w:val="5FD4310E"/>
    <w:rsid w:val="5FDBF527"/>
    <w:rsid w:val="5FEB0458"/>
    <w:rsid w:val="5FED2422"/>
    <w:rsid w:val="5FF92B75"/>
    <w:rsid w:val="60324951"/>
    <w:rsid w:val="603254B9"/>
    <w:rsid w:val="604069F6"/>
    <w:rsid w:val="60430294"/>
    <w:rsid w:val="604E6BA6"/>
    <w:rsid w:val="607641C6"/>
    <w:rsid w:val="607D0F5B"/>
    <w:rsid w:val="60844B35"/>
    <w:rsid w:val="60931CD5"/>
    <w:rsid w:val="60932FCA"/>
    <w:rsid w:val="60AC5E39"/>
    <w:rsid w:val="60B3541A"/>
    <w:rsid w:val="60C211B9"/>
    <w:rsid w:val="60C55551"/>
    <w:rsid w:val="61135407"/>
    <w:rsid w:val="611F2AAF"/>
    <w:rsid w:val="613567B6"/>
    <w:rsid w:val="613B78A5"/>
    <w:rsid w:val="61473D8A"/>
    <w:rsid w:val="61570D9C"/>
    <w:rsid w:val="6158764D"/>
    <w:rsid w:val="61700200"/>
    <w:rsid w:val="619743F4"/>
    <w:rsid w:val="6197778C"/>
    <w:rsid w:val="619A74E0"/>
    <w:rsid w:val="61A038F1"/>
    <w:rsid w:val="61A82AA5"/>
    <w:rsid w:val="61B35B44"/>
    <w:rsid w:val="61BA7A47"/>
    <w:rsid w:val="61CA4240"/>
    <w:rsid w:val="61D75138"/>
    <w:rsid w:val="61D95D11"/>
    <w:rsid w:val="61DD6A56"/>
    <w:rsid w:val="61E0223F"/>
    <w:rsid w:val="61F4580D"/>
    <w:rsid w:val="61F53810"/>
    <w:rsid w:val="62175534"/>
    <w:rsid w:val="622C5484"/>
    <w:rsid w:val="62326B06"/>
    <w:rsid w:val="624F2F20"/>
    <w:rsid w:val="62606EDB"/>
    <w:rsid w:val="6267755A"/>
    <w:rsid w:val="62863270"/>
    <w:rsid w:val="62901983"/>
    <w:rsid w:val="629412EA"/>
    <w:rsid w:val="62A65101"/>
    <w:rsid w:val="62A82630"/>
    <w:rsid w:val="62BB2364"/>
    <w:rsid w:val="62DB47B4"/>
    <w:rsid w:val="62DD052C"/>
    <w:rsid w:val="62FC3AE2"/>
    <w:rsid w:val="63500CFE"/>
    <w:rsid w:val="635D341B"/>
    <w:rsid w:val="6367429A"/>
    <w:rsid w:val="636C18B0"/>
    <w:rsid w:val="636D5D54"/>
    <w:rsid w:val="63813C72"/>
    <w:rsid w:val="638502E9"/>
    <w:rsid w:val="638953B6"/>
    <w:rsid w:val="638C3D00"/>
    <w:rsid w:val="638D1F52"/>
    <w:rsid w:val="639B51D4"/>
    <w:rsid w:val="63A454EE"/>
    <w:rsid w:val="63A70E45"/>
    <w:rsid w:val="63B65F1F"/>
    <w:rsid w:val="63B82D47"/>
    <w:rsid w:val="63BC2837"/>
    <w:rsid w:val="63BC6393"/>
    <w:rsid w:val="63C45507"/>
    <w:rsid w:val="63C60FC0"/>
    <w:rsid w:val="63CD4B17"/>
    <w:rsid w:val="63D33F19"/>
    <w:rsid w:val="63D3479B"/>
    <w:rsid w:val="63D670DC"/>
    <w:rsid w:val="63D97F04"/>
    <w:rsid w:val="63DF6526"/>
    <w:rsid w:val="63E31817"/>
    <w:rsid w:val="63F20007"/>
    <w:rsid w:val="63FF44D2"/>
    <w:rsid w:val="642B176B"/>
    <w:rsid w:val="64355C74"/>
    <w:rsid w:val="644840CB"/>
    <w:rsid w:val="6477050C"/>
    <w:rsid w:val="64803865"/>
    <w:rsid w:val="649015CE"/>
    <w:rsid w:val="64A06268"/>
    <w:rsid w:val="64A84B6A"/>
    <w:rsid w:val="64C64FF0"/>
    <w:rsid w:val="64C87389"/>
    <w:rsid w:val="64CA184F"/>
    <w:rsid w:val="652266CA"/>
    <w:rsid w:val="652B2057"/>
    <w:rsid w:val="65522B29"/>
    <w:rsid w:val="656767D3"/>
    <w:rsid w:val="656C3DE9"/>
    <w:rsid w:val="65717652"/>
    <w:rsid w:val="65776907"/>
    <w:rsid w:val="657A6809"/>
    <w:rsid w:val="657B3693"/>
    <w:rsid w:val="65830503"/>
    <w:rsid w:val="65B066AA"/>
    <w:rsid w:val="65D43A20"/>
    <w:rsid w:val="65DA51F7"/>
    <w:rsid w:val="65E240AB"/>
    <w:rsid w:val="663F4EF9"/>
    <w:rsid w:val="6646463A"/>
    <w:rsid w:val="66495ED8"/>
    <w:rsid w:val="664A7D98"/>
    <w:rsid w:val="66552ACF"/>
    <w:rsid w:val="665925BF"/>
    <w:rsid w:val="66683326"/>
    <w:rsid w:val="66721937"/>
    <w:rsid w:val="667F18FA"/>
    <w:rsid w:val="669305FB"/>
    <w:rsid w:val="66A650D9"/>
    <w:rsid w:val="66B912B0"/>
    <w:rsid w:val="66C33EDD"/>
    <w:rsid w:val="66D875E5"/>
    <w:rsid w:val="66DA6FA9"/>
    <w:rsid w:val="66E24A15"/>
    <w:rsid w:val="66EB3890"/>
    <w:rsid w:val="66F145A6"/>
    <w:rsid w:val="670818F0"/>
    <w:rsid w:val="670F50CA"/>
    <w:rsid w:val="67136879"/>
    <w:rsid w:val="67182A55"/>
    <w:rsid w:val="672229B1"/>
    <w:rsid w:val="672A36EC"/>
    <w:rsid w:val="67302FAA"/>
    <w:rsid w:val="67462D47"/>
    <w:rsid w:val="67736C6E"/>
    <w:rsid w:val="677E42EA"/>
    <w:rsid w:val="678A0557"/>
    <w:rsid w:val="679B518B"/>
    <w:rsid w:val="67A2560B"/>
    <w:rsid w:val="67DD3A75"/>
    <w:rsid w:val="67F62C09"/>
    <w:rsid w:val="680D3662"/>
    <w:rsid w:val="680F3BFE"/>
    <w:rsid w:val="683A4724"/>
    <w:rsid w:val="685600E5"/>
    <w:rsid w:val="685F692B"/>
    <w:rsid w:val="68930B9C"/>
    <w:rsid w:val="68BE670A"/>
    <w:rsid w:val="68C1435D"/>
    <w:rsid w:val="68D50E70"/>
    <w:rsid w:val="68D614E8"/>
    <w:rsid w:val="68D7322C"/>
    <w:rsid w:val="68E709A4"/>
    <w:rsid w:val="690E58E3"/>
    <w:rsid w:val="69407A67"/>
    <w:rsid w:val="694451C5"/>
    <w:rsid w:val="6951757E"/>
    <w:rsid w:val="69530B60"/>
    <w:rsid w:val="6954706E"/>
    <w:rsid w:val="69660EEA"/>
    <w:rsid w:val="69661FE6"/>
    <w:rsid w:val="696A2EBF"/>
    <w:rsid w:val="696C260A"/>
    <w:rsid w:val="6976549F"/>
    <w:rsid w:val="698A2A90"/>
    <w:rsid w:val="69BB70ED"/>
    <w:rsid w:val="69E90652"/>
    <w:rsid w:val="69EE301F"/>
    <w:rsid w:val="6A0740E0"/>
    <w:rsid w:val="6A0D3CCC"/>
    <w:rsid w:val="6A18009C"/>
    <w:rsid w:val="6A1B7B8C"/>
    <w:rsid w:val="6A222CC8"/>
    <w:rsid w:val="6A2A6FFA"/>
    <w:rsid w:val="6A584957"/>
    <w:rsid w:val="6A585414"/>
    <w:rsid w:val="6A6D2402"/>
    <w:rsid w:val="6A6D4F56"/>
    <w:rsid w:val="6A7554EE"/>
    <w:rsid w:val="6A9040D6"/>
    <w:rsid w:val="6A986ED7"/>
    <w:rsid w:val="6AB4217C"/>
    <w:rsid w:val="6AB9187F"/>
    <w:rsid w:val="6AE22E76"/>
    <w:rsid w:val="6AEB746E"/>
    <w:rsid w:val="6AF35D5D"/>
    <w:rsid w:val="6AF40B09"/>
    <w:rsid w:val="6AFB3C45"/>
    <w:rsid w:val="6B0573E1"/>
    <w:rsid w:val="6B135850"/>
    <w:rsid w:val="6B3709F5"/>
    <w:rsid w:val="6B6A0DCB"/>
    <w:rsid w:val="6B7D50F9"/>
    <w:rsid w:val="6B8005EE"/>
    <w:rsid w:val="6BAB58DC"/>
    <w:rsid w:val="6BAC3B2E"/>
    <w:rsid w:val="6BAC4F3F"/>
    <w:rsid w:val="6BB37AA8"/>
    <w:rsid w:val="6BBD0EFB"/>
    <w:rsid w:val="6BCE135A"/>
    <w:rsid w:val="6BDD3051"/>
    <w:rsid w:val="6BF012D0"/>
    <w:rsid w:val="6BF01E7D"/>
    <w:rsid w:val="6BF32B6E"/>
    <w:rsid w:val="6C021F8B"/>
    <w:rsid w:val="6C186F7E"/>
    <w:rsid w:val="6C1F5711"/>
    <w:rsid w:val="6C4D0142"/>
    <w:rsid w:val="6C5172C5"/>
    <w:rsid w:val="6C5D307F"/>
    <w:rsid w:val="6C6B7EC9"/>
    <w:rsid w:val="6C895281"/>
    <w:rsid w:val="6C89599A"/>
    <w:rsid w:val="6CA95923"/>
    <w:rsid w:val="6CB23185"/>
    <w:rsid w:val="6CBF0CA2"/>
    <w:rsid w:val="6CF941B4"/>
    <w:rsid w:val="6D192AA9"/>
    <w:rsid w:val="6D254FA9"/>
    <w:rsid w:val="6D2A708F"/>
    <w:rsid w:val="6D2E5172"/>
    <w:rsid w:val="6D341690"/>
    <w:rsid w:val="6D3C0545"/>
    <w:rsid w:val="6D400035"/>
    <w:rsid w:val="6D401DE3"/>
    <w:rsid w:val="6D443E48"/>
    <w:rsid w:val="6D453676"/>
    <w:rsid w:val="6D6B4986"/>
    <w:rsid w:val="6D714693"/>
    <w:rsid w:val="6D8C31AF"/>
    <w:rsid w:val="6D9D7236"/>
    <w:rsid w:val="6DC0478C"/>
    <w:rsid w:val="6DEF7E3E"/>
    <w:rsid w:val="6DF569DC"/>
    <w:rsid w:val="6DFB1F7E"/>
    <w:rsid w:val="6E0D5999"/>
    <w:rsid w:val="6E190C8F"/>
    <w:rsid w:val="6E2B2A93"/>
    <w:rsid w:val="6E3B25AB"/>
    <w:rsid w:val="6E423939"/>
    <w:rsid w:val="6E5756E6"/>
    <w:rsid w:val="6E601B9A"/>
    <w:rsid w:val="6E620524"/>
    <w:rsid w:val="6E6F0447"/>
    <w:rsid w:val="6E762E2A"/>
    <w:rsid w:val="6E957F0D"/>
    <w:rsid w:val="6EAB1A51"/>
    <w:rsid w:val="6ECD3B4B"/>
    <w:rsid w:val="6EE93971"/>
    <w:rsid w:val="6EF235B1"/>
    <w:rsid w:val="6EF65EF3"/>
    <w:rsid w:val="6EF70BC7"/>
    <w:rsid w:val="6F0B01CF"/>
    <w:rsid w:val="6F2474E3"/>
    <w:rsid w:val="6F3040D9"/>
    <w:rsid w:val="6F3A0155"/>
    <w:rsid w:val="6F435FEF"/>
    <w:rsid w:val="6F4546EB"/>
    <w:rsid w:val="6F455E62"/>
    <w:rsid w:val="6F4D4BC1"/>
    <w:rsid w:val="6F5222A2"/>
    <w:rsid w:val="6F543924"/>
    <w:rsid w:val="6F667FEE"/>
    <w:rsid w:val="6F7075EC"/>
    <w:rsid w:val="6F7A7103"/>
    <w:rsid w:val="6F7E6678"/>
    <w:rsid w:val="6F801AA4"/>
    <w:rsid w:val="6F8B1310"/>
    <w:rsid w:val="6F946416"/>
    <w:rsid w:val="6FA20387"/>
    <w:rsid w:val="6FBA7765"/>
    <w:rsid w:val="6FC54822"/>
    <w:rsid w:val="6FD44A65"/>
    <w:rsid w:val="6FD74555"/>
    <w:rsid w:val="6FDB087E"/>
    <w:rsid w:val="6FEA072C"/>
    <w:rsid w:val="6FF670D1"/>
    <w:rsid w:val="700020E5"/>
    <w:rsid w:val="70076BE8"/>
    <w:rsid w:val="70095765"/>
    <w:rsid w:val="700F0193"/>
    <w:rsid w:val="70185747"/>
    <w:rsid w:val="702F4391"/>
    <w:rsid w:val="7041153E"/>
    <w:rsid w:val="70565EFE"/>
    <w:rsid w:val="70695AEA"/>
    <w:rsid w:val="706A203D"/>
    <w:rsid w:val="70787AE6"/>
    <w:rsid w:val="70862203"/>
    <w:rsid w:val="709B6BD8"/>
    <w:rsid w:val="70A452BD"/>
    <w:rsid w:val="70B623BC"/>
    <w:rsid w:val="70B86135"/>
    <w:rsid w:val="70C64CF5"/>
    <w:rsid w:val="70D171F6"/>
    <w:rsid w:val="70D25448"/>
    <w:rsid w:val="70DF148D"/>
    <w:rsid w:val="70EE1B56"/>
    <w:rsid w:val="70F77931"/>
    <w:rsid w:val="70FC4273"/>
    <w:rsid w:val="710870BC"/>
    <w:rsid w:val="711315BD"/>
    <w:rsid w:val="711C66C3"/>
    <w:rsid w:val="711F7F62"/>
    <w:rsid w:val="712E4649"/>
    <w:rsid w:val="712F602C"/>
    <w:rsid w:val="71306613"/>
    <w:rsid w:val="71507DEC"/>
    <w:rsid w:val="71597917"/>
    <w:rsid w:val="715D5876"/>
    <w:rsid w:val="71752277"/>
    <w:rsid w:val="71793B16"/>
    <w:rsid w:val="717C7162"/>
    <w:rsid w:val="717E2EDA"/>
    <w:rsid w:val="71883D59"/>
    <w:rsid w:val="71A16BC9"/>
    <w:rsid w:val="71AA5254"/>
    <w:rsid w:val="71AB5C99"/>
    <w:rsid w:val="71AB7A47"/>
    <w:rsid w:val="71BA51EA"/>
    <w:rsid w:val="71CD20B4"/>
    <w:rsid w:val="71E85B9A"/>
    <w:rsid w:val="71EC078C"/>
    <w:rsid w:val="71F907B3"/>
    <w:rsid w:val="72136242"/>
    <w:rsid w:val="72156EDC"/>
    <w:rsid w:val="722775FE"/>
    <w:rsid w:val="72556331"/>
    <w:rsid w:val="72734A09"/>
    <w:rsid w:val="72807126"/>
    <w:rsid w:val="729606F7"/>
    <w:rsid w:val="729C3F60"/>
    <w:rsid w:val="72A660DA"/>
    <w:rsid w:val="72AE5A41"/>
    <w:rsid w:val="72B3073A"/>
    <w:rsid w:val="72E36A7B"/>
    <w:rsid w:val="72EE0533"/>
    <w:rsid w:val="73025D8D"/>
    <w:rsid w:val="730441E6"/>
    <w:rsid w:val="7318735E"/>
    <w:rsid w:val="732326E2"/>
    <w:rsid w:val="73263829"/>
    <w:rsid w:val="73426189"/>
    <w:rsid w:val="73754880"/>
    <w:rsid w:val="73774085"/>
    <w:rsid w:val="737A5923"/>
    <w:rsid w:val="737F58F6"/>
    <w:rsid w:val="73836344"/>
    <w:rsid w:val="73974082"/>
    <w:rsid w:val="73AA445A"/>
    <w:rsid w:val="73F92CEC"/>
    <w:rsid w:val="74213FF1"/>
    <w:rsid w:val="7428443C"/>
    <w:rsid w:val="742E519E"/>
    <w:rsid w:val="743D707D"/>
    <w:rsid w:val="745A5E80"/>
    <w:rsid w:val="74634609"/>
    <w:rsid w:val="746C7962"/>
    <w:rsid w:val="747131CA"/>
    <w:rsid w:val="74962C31"/>
    <w:rsid w:val="74980BA6"/>
    <w:rsid w:val="74C4154C"/>
    <w:rsid w:val="74CA4001"/>
    <w:rsid w:val="74CB28DA"/>
    <w:rsid w:val="74D90D42"/>
    <w:rsid w:val="74FD05BA"/>
    <w:rsid w:val="751002ED"/>
    <w:rsid w:val="751029E3"/>
    <w:rsid w:val="751C1ED5"/>
    <w:rsid w:val="752D5343"/>
    <w:rsid w:val="753170D3"/>
    <w:rsid w:val="75322959"/>
    <w:rsid w:val="753B3B98"/>
    <w:rsid w:val="753D36DB"/>
    <w:rsid w:val="753F0BD2"/>
    <w:rsid w:val="754E0E15"/>
    <w:rsid w:val="75602479"/>
    <w:rsid w:val="756F7433"/>
    <w:rsid w:val="75742F72"/>
    <w:rsid w:val="75752846"/>
    <w:rsid w:val="75765B5E"/>
    <w:rsid w:val="75976C60"/>
    <w:rsid w:val="75A70094"/>
    <w:rsid w:val="75D05CCE"/>
    <w:rsid w:val="75DE462D"/>
    <w:rsid w:val="75E33FCE"/>
    <w:rsid w:val="75F257B6"/>
    <w:rsid w:val="75F96FD3"/>
    <w:rsid w:val="760E3D64"/>
    <w:rsid w:val="7610431D"/>
    <w:rsid w:val="76145D94"/>
    <w:rsid w:val="761B26DB"/>
    <w:rsid w:val="7621652A"/>
    <w:rsid w:val="76261D92"/>
    <w:rsid w:val="762878B8"/>
    <w:rsid w:val="76306DF6"/>
    <w:rsid w:val="76402037"/>
    <w:rsid w:val="7642072D"/>
    <w:rsid w:val="76434B44"/>
    <w:rsid w:val="764C417F"/>
    <w:rsid w:val="767368EE"/>
    <w:rsid w:val="768E1E11"/>
    <w:rsid w:val="768F09ED"/>
    <w:rsid w:val="768F5B89"/>
    <w:rsid w:val="76937428"/>
    <w:rsid w:val="769D69BF"/>
    <w:rsid w:val="76B7407D"/>
    <w:rsid w:val="76C021E7"/>
    <w:rsid w:val="76CC5F86"/>
    <w:rsid w:val="76CC7F08"/>
    <w:rsid w:val="76DD68F5"/>
    <w:rsid w:val="76EB6AD6"/>
    <w:rsid w:val="771070F1"/>
    <w:rsid w:val="771D4F43"/>
    <w:rsid w:val="77286BAA"/>
    <w:rsid w:val="77302EC9"/>
    <w:rsid w:val="773D55E5"/>
    <w:rsid w:val="77470212"/>
    <w:rsid w:val="775F4ED6"/>
    <w:rsid w:val="7762504C"/>
    <w:rsid w:val="777D1985"/>
    <w:rsid w:val="778576B9"/>
    <w:rsid w:val="77B04009"/>
    <w:rsid w:val="77B75398"/>
    <w:rsid w:val="77C16217"/>
    <w:rsid w:val="77C43611"/>
    <w:rsid w:val="77CC23A7"/>
    <w:rsid w:val="77EA7A50"/>
    <w:rsid w:val="77ED0DBA"/>
    <w:rsid w:val="77FB7A70"/>
    <w:rsid w:val="780D4FB8"/>
    <w:rsid w:val="78102B7F"/>
    <w:rsid w:val="78252301"/>
    <w:rsid w:val="783373F7"/>
    <w:rsid w:val="783F4692"/>
    <w:rsid w:val="784649FC"/>
    <w:rsid w:val="786A240A"/>
    <w:rsid w:val="786E47D0"/>
    <w:rsid w:val="788D2AB4"/>
    <w:rsid w:val="789C0459"/>
    <w:rsid w:val="78A551F0"/>
    <w:rsid w:val="78AE679B"/>
    <w:rsid w:val="78BB0EB8"/>
    <w:rsid w:val="78BF347A"/>
    <w:rsid w:val="78CB071C"/>
    <w:rsid w:val="78CF226D"/>
    <w:rsid w:val="78D752F1"/>
    <w:rsid w:val="79235AD0"/>
    <w:rsid w:val="794A5D98"/>
    <w:rsid w:val="794F4EFE"/>
    <w:rsid w:val="79554E68"/>
    <w:rsid w:val="79714CEC"/>
    <w:rsid w:val="799C2A97"/>
    <w:rsid w:val="79A313DA"/>
    <w:rsid w:val="79A4194C"/>
    <w:rsid w:val="79AA45C6"/>
    <w:rsid w:val="79BF50D1"/>
    <w:rsid w:val="79D55FA9"/>
    <w:rsid w:val="79E81839"/>
    <w:rsid w:val="79EB51EE"/>
    <w:rsid w:val="79ED50A1"/>
    <w:rsid w:val="7A0F3269"/>
    <w:rsid w:val="7A1A5B66"/>
    <w:rsid w:val="7A2E0C10"/>
    <w:rsid w:val="7A430B68"/>
    <w:rsid w:val="7A552671"/>
    <w:rsid w:val="7A727261"/>
    <w:rsid w:val="7A83705F"/>
    <w:rsid w:val="7A9108ED"/>
    <w:rsid w:val="7A963EC8"/>
    <w:rsid w:val="7A965738"/>
    <w:rsid w:val="7ACA4603"/>
    <w:rsid w:val="7ACC1167"/>
    <w:rsid w:val="7AD16771"/>
    <w:rsid w:val="7B0446E4"/>
    <w:rsid w:val="7B155072"/>
    <w:rsid w:val="7B31720F"/>
    <w:rsid w:val="7B4038F6"/>
    <w:rsid w:val="7B4B1F1E"/>
    <w:rsid w:val="7B590514"/>
    <w:rsid w:val="7B7B492E"/>
    <w:rsid w:val="7B7D6165"/>
    <w:rsid w:val="7B826934"/>
    <w:rsid w:val="7BA93249"/>
    <w:rsid w:val="7BAC4CCD"/>
    <w:rsid w:val="7BB601A1"/>
    <w:rsid w:val="7BC831C9"/>
    <w:rsid w:val="7BCD518A"/>
    <w:rsid w:val="7BEB3862"/>
    <w:rsid w:val="7BF546E1"/>
    <w:rsid w:val="7BF61A49"/>
    <w:rsid w:val="7C0308FD"/>
    <w:rsid w:val="7C0A6D20"/>
    <w:rsid w:val="7C0C6EE5"/>
    <w:rsid w:val="7C142300"/>
    <w:rsid w:val="7C1C3A1B"/>
    <w:rsid w:val="7C1F52BA"/>
    <w:rsid w:val="7C2244D8"/>
    <w:rsid w:val="7C26752C"/>
    <w:rsid w:val="7C4A211F"/>
    <w:rsid w:val="7C596A1E"/>
    <w:rsid w:val="7C745DC5"/>
    <w:rsid w:val="7C8415C1"/>
    <w:rsid w:val="7C872CD7"/>
    <w:rsid w:val="7C980029"/>
    <w:rsid w:val="7CA67789"/>
    <w:rsid w:val="7CBA4FE2"/>
    <w:rsid w:val="7CBD4C3B"/>
    <w:rsid w:val="7CE309DD"/>
    <w:rsid w:val="7D01331E"/>
    <w:rsid w:val="7D0E09B5"/>
    <w:rsid w:val="7D0E64EC"/>
    <w:rsid w:val="7D2F777E"/>
    <w:rsid w:val="7D3F6D5A"/>
    <w:rsid w:val="7D584F27"/>
    <w:rsid w:val="7D603C65"/>
    <w:rsid w:val="7D6733BC"/>
    <w:rsid w:val="7D75615A"/>
    <w:rsid w:val="7D77400E"/>
    <w:rsid w:val="7D7D498E"/>
    <w:rsid w:val="7D7F2C9B"/>
    <w:rsid w:val="7D80622C"/>
    <w:rsid w:val="7D833BD6"/>
    <w:rsid w:val="7D9A488E"/>
    <w:rsid w:val="7DA77C5D"/>
    <w:rsid w:val="7DAD33DB"/>
    <w:rsid w:val="7DCF00A4"/>
    <w:rsid w:val="7DE1316F"/>
    <w:rsid w:val="7DF96F7F"/>
    <w:rsid w:val="7E0E0080"/>
    <w:rsid w:val="7E132BFC"/>
    <w:rsid w:val="7E290672"/>
    <w:rsid w:val="7E4454AB"/>
    <w:rsid w:val="7E4C1470"/>
    <w:rsid w:val="7E572315"/>
    <w:rsid w:val="7E58473A"/>
    <w:rsid w:val="7E5E0720"/>
    <w:rsid w:val="7E732483"/>
    <w:rsid w:val="7E9401E1"/>
    <w:rsid w:val="7EA451A2"/>
    <w:rsid w:val="7EA61CC2"/>
    <w:rsid w:val="7EC108AA"/>
    <w:rsid w:val="7ED44A81"/>
    <w:rsid w:val="7EE3581F"/>
    <w:rsid w:val="7EF0118F"/>
    <w:rsid w:val="7EF42A2E"/>
    <w:rsid w:val="7EFF3606"/>
    <w:rsid w:val="7F045A3F"/>
    <w:rsid w:val="7F076C05"/>
    <w:rsid w:val="7F101EFC"/>
    <w:rsid w:val="7F34254D"/>
    <w:rsid w:val="7F411E21"/>
    <w:rsid w:val="7F4A4D43"/>
    <w:rsid w:val="7F4C3150"/>
    <w:rsid w:val="7F5931D8"/>
    <w:rsid w:val="7F5A414C"/>
    <w:rsid w:val="7F7818B1"/>
    <w:rsid w:val="7F791284"/>
    <w:rsid w:val="7F7E7078"/>
    <w:rsid w:val="7F855D7C"/>
    <w:rsid w:val="7F8B2E82"/>
    <w:rsid w:val="7FB91A89"/>
    <w:rsid w:val="7FBB94A4"/>
    <w:rsid w:val="7FD0349B"/>
    <w:rsid w:val="7FE02FB2"/>
    <w:rsid w:val="7FE4525F"/>
    <w:rsid w:val="7FEE3921"/>
    <w:rsid w:val="7FEF3390"/>
    <w:rsid w:val="7FF52F01"/>
    <w:rsid w:val="7FFF0320"/>
    <w:rsid w:val="99BFFA8E"/>
    <w:rsid w:val="A7778653"/>
    <w:rsid w:val="AE4BF820"/>
    <w:rsid w:val="AEAF5B02"/>
    <w:rsid w:val="DBCF905B"/>
    <w:rsid w:val="EB3624F1"/>
    <w:rsid w:val="EBEF5BF5"/>
    <w:rsid w:val="EBFF5BB7"/>
    <w:rsid w:val="EEEC27FF"/>
    <w:rsid w:val="F6E34439"/>
    <w:rsid w:val="FEDA5DCB"/>
    <w:rsid w:val="FFEF2EE7"/>
    <w:rsid w:val="FFF73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jc w:val="center"/>
      <w:outlineLvl w:val="0"/>
    </w:pPr>
    <w:rPr>
      <w:rFonts w:ascii="方正小标宋_GBK" w:hAnsi="方正小标宋_GBK" w:eastAsia="方正小标宋_GBK" w:cs="方正小标宋_GBK"/>
      <w:sz w:val="40"/>
      <w:szCs w:val="48"/>
    </w:rPr>
  </w:style>
  <w:style w:type="paragraph" w:styleId="5">
    <w:name w:val="heading 2"/>
    <w:basedOn w:val="1"/>
    <w:next w:val="1"/>
    <w:link w:val="27"/>
    <w:unhideWhenUsed/>
    <w:qFormat/>
    <w:uiPriority w:val="0"/>
    <w:pPr>
      <w:keepNext/>
      <w:keepLines/>
      <w:numPr>
        <w:ilvl w:val="0"/>
        <w:numId w:val="1"/>
      </w:numPr>
      <w:spacing w:line="588" w:lineRule="exact"/>
      <w:ind w:firstLine="600" w:firstLineChars="200"/>
      <w:outlineLvl w:val="1"/>
    </w:pPr>
    <w:rPr>
      <w:rFonts w:ascii="方正黑体_GBK" w:hAnsi="方正黑体_GBK" w:eastAsia="方正黑体_GBK" w:cs="方正黑体_GBK"/>
      <w:sz w:val="30"/>
      <w:szCs w:val="30"/>
    </w:rPr>
  </w:style>
  <w:style w:type="paragraph" w:styleId="6">
    <w:name w:val="heading 3"/>
    <w:basedOn w:val="1"/>
    <w:next w:val="1"/>
    <w:link w:val="28"/>
    <w:semiHidden/>
    <w:unhideWhenUsed/>
    <w:qFormat/>
    <w:uiPriority w:val="0"/>
    <w:pPr>
      <w:widowControl/>
      <w:spacing w:line="588" w:lineRule="exact"/>
      <w:ind w:firstLine="602" w:firstLineChars="200"/>
      <w:jc w:val="left"/>
      <w:outlineLvl w:val="2"/>
    </w:pPr>
    <w:rPr>
      <w:rFonts w:ascii="方正楷体_GBK" w:hAnsi="方正楷体_GBK" w:eastAsia="方正楷体_GBK" w:cs="方正楷体_GBK"/>
      <w:b/>
      <w:bCs/>
      <w:sz w:val="30"/>
      <w:szCs w:val="30"/>
    </w:rPr>
  </w:style>
  <w:style w:type="paragraph" w:styleId="7">
    <w:name w:val="heading 4"/>
    <w:basedOn w:val="1"/>
    <w:next w:val="1"/>
    <w:qFormat/>
    <w:uiPriority w:val="0"/>
    <w:pPr>
      <w:keepNext/>
      <w:keepLines/>
      <w:adjustRightInd w:val="0"/>
      <w:snapToGrid w:val="0"/>
      <w:spacing w:line="560" w:lineRule="exact"/>
      <w:outlineLvl w:val="3"/>
    </w:pPr>
    <w:rPr>
      <w:rFonts w:ascii="方正仿宋_GBK" w:hAnsi="方正仿宋_GBK" w:eastAsia="方正仿宋_GBK"/>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Calibri" w:hAnsi="Calibri" w:eastAsia="仿宋_GB2312"/>
      <w:sz w:val="32"/>
      <w:szCs w:val="32"/>
    </w:rPr>
  </w:style>
  <w:style w:type="paragraph" w:styleId="3">
    <w:name w:val="Body Text Indent"/>
    <w:basedOn w:val="1"/>
    <w:next w:val="2"/>
    <w:unhideWhenUsed/>
    <w:qFormat/>
    <w:uiPriority w:val="99"/>
    <w:pPr>
      <w:spacing w:after="120"/>
      <w:ind w:left="420" w:leftChars="200"/>
    </w:pPr>
  </w:style>
  <w:style w:type="paragraph" w:styleId="8">
    <w:name w:val="Normal Indent"/>
    <w:basedOn w:val="1"/>
    <w:next w:val="1"/>
    <w:unhideWhenUsed/>
    <w:qFormat/>
    <w:uiPriority w:val="99"/>
    <w:pPr>
      <w:ind w:firstLine="420"/>
    </w:pPr>
    <w:rPr>
      <w:rFonts w:eastAsia="方正仿宋_GBK"/>
      <w:sz w:val="32"/>
    </w:rPr>
  </w:style>
  <w:style w:type="paragraph" w:styleId="9">
    <w:name w:val="caption"/>
    <w:basedOn w:val="1"/>
    <w:next w:val="1"/>
    <w:link w:val="25"/>
    <w:semiHidden/>
    <w:unhideWhenUsed/>
    <w:qFormat/>
    <w:uiPriority w:val="0"/>
    <w:pPr>
      <w:jc w:val="center"/>
    </w:pPr>
    <w:rPr>
      <w:rFonts w:ascii="Times New Roman" w:hAnsi="Times New Roman" w:eastAsia="黑体" w:cs="Times New Roman"/>
      <w:sz w:val="24"/>
      <w:szCs w:val="20"/>
    </w:rPr>
  </w:style>
  <w:style w:type="paragraph" w:styleId="10">
    <w:name w:val="annotation text"/>
    <w:basedOn w:val="1"/>
    <w:qFormat/>
    <w:uiPriority w:val="0"/>
    <w:pPr>
      <w:jc w:val="left"/>
    </w:pPr>
  </w:style>
  <w:style w:type="paragraph" w:styleId="11">
    <w:name w:val="Body Text"/>
    <w:basedOn w:val="1"/>
    <w:next w:val="1"/>
    <w:semiHidden/>
    <w:qFormat/>
    <w:uiPriority w:val="0"/>
    <w:rPr>
      <w:rFonts w:ascii="微软雅黑" w:hAnsi="微软雅黑" w:eastAsia="微软雅黑" w:cs="微软雅黑"/>
      <w:sz w:val="31"/>
      <w:szCs w:val="31"/>
      <w:lang w:eastAsia="en-US"/>
    </w:r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0"/>
  </w:style>
  <w:style w:type="paragraph" w:styleId="16">
    <w:name w:val="footnote text"/>
    <w:basedOn w:val="1"/>
    <w:semiHidden/>
    <w:unhideWhenUsed/>
    <w:qFormat/>
    <w:uiPriority w:val="99"/>
    <w:pPr>
      <w:snapToGrid w:val="0"/>
      <w:jc w:val="left"/>
    </w:pPr>
    <w:rPr>
      <w:sz w:val="18"/>
    </w:rPr>
  </w:style>
  <w:style w:type="paragraph" w:styleId="17">
    <w:name w:val="Normal (Web)"/>
    <w:basedOn w:val="1"/>
    <w:qFormat/>
    <w:uiPriority w:val="0"/>
    <w:pPr>
      <w:widowControl/>
      <w:spacing w:before="100" w:beforeAutospacing="1" w:after="100" w:afterAutospacing="1" w:line="360" w:lineRule="auto"/>
      <w:jc w:val="left"/>
    </w:pPr>
    <w:rPr>
      <w:rFonts w:ascii="Wonder Arial" w:hAnsi="Wonder Arial" w:eastAsia="Wonder Arial"/>
      <w:color w:val="000000"/>
      <w:kern w:val="0"/>
      <w:sz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unhideWhenUsed/>
    <w:qFormat/>
    <w:uiPriority w:val="0"/>
    <w:rPr>
      <w:rFonts w:hint="default" w:ascii="Times New Roman" w:hAnsi="Times New Roman" w:eastAsia="宋体"/>
      <w:color w:val="auto"/>
      <w:sz w:val="21"/>
      <w:szCs w:val="24"/>
    </w:rPr>
  </w:style>
  <w:style w:type="character" w:styleId="23">
    <w:name w:val="footnote reference"/>
    <w:basedOn w:val="20"/>
    <w:semiHidden/>
    <w:unhideWhenUsed/>
    <w:qFormat/>
    <w:uiPriority w:val="99"/>
    <w:rPr>
      <w:vertAlign w:val="superscript"/>
    </w:rPr>
  </w:style>
  <w:style w:type="paragraph" w:styleId="24">
    <w:name w:val="No Spacing"/>
    <w:unhideWhenUsed/>
    <w:qFormat/>
    <w:uiPriority w:val="1"/>
    <w:pPr>
      <w:widowControl w:val="0"/>
      <w:ind w:firstLine="200" w:firstLineChars="200"/>
      <w:jc w:val="both"/>
    </w:pPr>
    <w:rPr>
      <w:rFonts w:hint="eastAsia" w:ascii="方正仿宋_GBK" w:hAnsi="方正仿宋_GBK" w:eastAsia="方正仿宋_GBK" w:cs="Times New Roman"/>
      <w:kern w:val="2"/>
      <w:sz w:val="32"/>
      <w:szCs w:val="22"/>
      <w:lang w:val="en-US" w:eastAsia="zh-CN" w:bidi="ar-SA"/>
    </w:rPr>
  </w:style>
  <w:style w:type="character" w:customStyle="1" w:styleId="25">
    <w:name w:val="题注 字符"/>
    <w:link w:val="9"/>
    <w:qFormat/>
    <w:uiPriority w:val="0"/>
    <w:rPr>
      <w:rFonts w:ascii="Times New Roman" w:hAnsi="Times New Roman" w:eastAsia="黑体" w:cs="Times New Roman"/>
      <w:sz w:val="24"/>
      <w:szCs w:val="20"/>
    </w:rPr>
  </w:style>
  <w:style w:type="paragraph" w:customStyle="1" w:styleId="26">
    <w:name w:val="Table Text"/>
    <w:basedOn w:val="1"/>
    <w:semiHidden/>
    <w:qFormat/>
    <w:uiPriority w:val="0"/>
    <w:rPr>
      <w:rFonts w:ascii="宋体" w:hAnsi="宋体" w:eastAsia="宋体" w:cs="宋体"/>
      <w:sz w:val="59"/>
      <w:szCs w:val="59"/>
      <w:lang w:eastAsia="en-US"/>
    </w:rPr>
  </w:style>
  <w:style w:type="character" w:customStyle="1" w:styleId="27">
    <w:name w:val="标题 2 字符"/>
    <w:link w:val="5"/>
    <w:qFormat/>
    <w:uiPriority w:val="0"/>
    <w:rPr>
      <w:rFonts w:ascii="方正黑体_GBK" w:hAnsi="方正黑体_GBK" w:eastAsia="方正黑体_GBK" w:cs="方正黑体_GBK"/>
      <w:sz w:val="30"/>
      <w:szCs w:val="30"/>
    </w:rPr>
  </w:style>
  <w:style w:type="character" w:customStyle="1" w:styleId="28">
    <w:name w:val="标题 3 字符"/>
    <w:link w:val="6"/>
    <w:qFormat/>
    <w:uiPriority w:val="0"/>
    <w:rPr>
      <w:rFonts w:ascii="方正楷体_GBK" w:hAnsi="方正楷体_GBK" w:eastAsia="方正楷体_GBK" w:cs="方正楷体_GBK"/>
      <w:b/>
      <w:bCs/>
      <w:sz w:val="30"/>
      <w:szCs w:val="30"/>
    </w:rPr>
  </w:style>
  <w:style w:type="paragraph" w:styleId="29">
    <w:name w:val="List Paragraph"/>
    <w:basedOn w:val="1"/>
    <w:qFormat/>
    <w:uiPriority w:val="34"/>
    <w:pPr>
      <w:ind w:firstLine="420" w:firstLineChars="200"/>
    </w:pPr>
  </w:style>
  <w:style w:type="paragraph" w:customStyle="1" w:styleId="30">
    <w:name w:val="普通(网站)1"/>
    <w:basedOn w:val="1"/>
    <w:qFormat/>
    <w:uiPriority w:val="0"/>
    <w:pPr>
      <w:widowControl/>
      <w:spacing w:beforeAutospacing="1" w:afterAutospacing="1"/>
      <w:jc w:val="left"/>
    </w:pPr>
    <w:rPr>
      <w:rFonts w:ascii="宋体" w:hAnsi="宋体"/>
      <w:kern w:val="0"/>
      <w:sz w:val="24"/>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14915</Words>
  <Characters>15188</Characters>
  <Lines>47</Lines>
  <Paragraphs>13</Paragraphs>
  <TotalTime>1</TotalTime>
  <ScaleCrop>false</ScaleCrop>
  <LinksUpToDate>false</LinksUpToDate>
  <CharactersWithSpaces>15275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2025-01-20T18:38:00Z</dcterms:created>
  <dc:creator>wangs</dc:creator>
  <cp:lastModifiedBy>suma</cp:lastModifiedBy>
  <cp:lastPrinted>2025-08-21T15:57:00Z</cp:lastPrinted>
  <dcterms:modified xsi:type="dcterms:W3CDTF">2025-08-20T18:03:52Z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EFEB295D54774CAEBCD619F8C2D78596</vt:lpwstr>
  </property>
  <property fmtid="{D5CDD505-2E9C-101B-9397-08002B2CF9AE}" pid="4" name="KSOTemplateDocerSaveRecord">
    <vt:lpwstr>eyJoZGlkIjoiMWM4MmVkOTA1MjFjYzMwZWNmZGFhODliZDBjZWU4YWMiLCJ1c2VySWQiOiIzODU4NDEzMjAifQ==</vt:lpwstr>
  </property>
</Properties>
</file>