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 w:cs="Times New Roman"/>
          <w:sz w:val="32"/>
          <w:szCs w:val="44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44"/>
        </w:rPr>
        <w:t>附件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第一批电网侧独立新型储能电站示范项目清单</w:t>
      </w:r>
    </w:p>
    <w:p>
      <w:pPr>
        <w:spacing w:line="580" w:lineRule="exact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单位：万千瓦/万千瓦时、元/千瓦时、亿元</w:t>
      </w:r>
    </w:p>
    <w:tbl>
      <w:tblPr>
        <w:tblStyle w:val="5"/>
        <w:tblW w:w="13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696"/>
        <w:gridCol w:w="3114"/>
        <w:gridCol w:w="1979"/>
        <w:gridCol w:w="992"/>
        <w:gridCol w:w="849"/>
        <w:gridCol w:w="852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tblHeader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  <w:t>盟市</w:t>
            </w:r>
          </w:p>
        </w:tc>
        <w:tc>
          <w:tcPr>
            <w:tcW w:w="3696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  <w:t>项目业主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  <w:t>储能类型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  <w:t>储能</w:t>
            </w:r>
          </w:p>
          <w:p>
            <w:pPr>
              <w:widowControl/>
              <w:spacing w:line="4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  <w:t>容量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  <w:t>容量</w:t>
            </w:r>
          </w:p>
          <w:p>
            <w:pPr>
              <w:widowControl/>
              <w:spacing w:line="4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  <w:t>补偿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  <w:t>计划</w:t>
            </w:r>
          </w:p>
          <w:p>
            <w:pPr>
              <w:widowControl/>
              <w:spacing w:line="4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  <w:t>投资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  <w:t>投产</w:t>
            </w:r>
          </w:p>
          <w:p>
            <w:pPr>
              <w:widowControl/>
              <w:spacing w:line="4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  <w:t>呼和浩特</w:t>
            </w:r>
          </w:p>
        </w:tc>
        <w:tc>
          <w:tcPr>
            <w:tcW w:w="369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Style w:val="55"/>
                <w:rFonts w:hint="default" w:ascii="Times New Roman" w:hAnsi="Times New Roman" w:cs="Times New Roman"/>
                <w:color w:val="auto"/>
                <w:szCs w:val="28"/>
              </w:rPr>
              <w:t>内蒙古呼和浩特可镇100MW/400MWh电网侧储能</w:t>
            </w:r>
            <w:r>
              <w:rPr>
                <w:rStyle w:val="55"/>
                <w:rFonts w:hint="eastAsia" w:ascii="Times New Roman" w:hAnsi="Times New Roman" w:eastAsia="仿宋_GB2312" w:cs="Times New Roman"/>
                <w:color w:val="auto"/>
                <w:szCs w:val="28"/>
                <w:lang w:val="en-US" w:eastAsia="zh-CN"/>
              </w:rPr>
              <w:t>电站工程项目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Style w:val="55"/>
                <w:rFonts w:hint="default" w:ascii="Times New Roman" w:hAnsi="Times New Roman" w:cs="Times New Roman"/>
                <w:color w:val="auto"/>
                <w:szCs w:val="28"/>
              </w:rPr>
              <w:t>内蒙古电力集团综合能源有限责任公司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磷酸铁锂(97.5%)、钠离子(2.5%)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</w:pP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10/40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0.35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5.02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5" w:type="dxa"/>
            <w:vMerge w:val="restar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  <w:t>包头</w:t>
            </w:r>
          </w:p>
        </w:tc>
        <w:tc>
          <w:tcPr>
            <w:tcW w:w="369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Style w:val="55"/>
                <w:rFonts w:hint="default" w:ascii="Times New Roman" w:hAnsi="Times New Roman" w:cs="Times New Roman"/>
                <w:color w:val="auto"/>
                <w:szCs w:val="28"/>
              </w:rPr>
              <w:t>包头百灵</w:t>
            </w:r>
            <w:r>
              <w:rPr>
                <w:rStyle w:val="50"/>
                <w:rFonts w:eastAsia="仿宋_GB2312"/>
                <w:color w:val="auto"/>
                <w:szCs w:val="28"/>
              </w:rPr>
              <w:t>10</w:t>
            </w:r>
            <w:r>
              <w:rPr>
                <w:rStyle w:val="55"/>
                <w:rFonts w:hint="default" w:ascii="Times New Roman" w:hAnsi="Times New Roman" w:cs="Times New Roman"/>
                <w:color w:val="auto"/>
                <w:szCs w:val="28"/>
              </w:rPr>
              <w:t>万千瓦</w:t>
            </w:r>
            <w:r>
              <w:rPr>
                <w:rStyle w:val="50"/>
                <w:rFonts w:eastAsia="仿宋_GB2312"/>
                <w:color w:val="auto"/>
                <w:szCs w:val="28"/>
              </w:rPr>
              <w:t>/40</w:t>
            </w:r>
            <w:r>
              <w:rPr>
                <w:rStyle w:val="55"/>
                <w:rFonts w:hint="default" w:ascii="Times New Roman" w:hAnsi="Times New Roman" w:cs="Times New Roman"/>
                <w:color w:val="auto"/>
                <w:szCs w:val="28"/>
              </w:rPr>
              <w:t>万千瓦时电网侧储能电站项目（东）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Style w:val="55"/>
                <w:rFonts w:hint="default" w:ascii="Times New Roman" w:hAnsi="Times New Roman" w:cs="Times New Roman"/>
                <w:color w:val="auto"/>
                <w:szCs w:val="28"/>
              </w:rPr>
              <w:t>内蒙古电力集团综合能源有限责任公司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磷酸铁锂(97.5%)</w:t>
            </w:r>
            <w:r>
              <w:rPr>
                <w:rStyle w:val="50"/>
                <w:rFonts w:eastAsia="仿宋_GB2312"/>
                <w:color w:val="auto"/>
                <w:szCs w:val="28"/>
              </w:rPr>
              <w:t>、</w:t>
            </w: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全钒液流(2.5%)</w:t>
            </w:r>
          </w:p>
        </w:tc>
        <w:tc>
          <w:tcPr>
            <w:tcW w:w="99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10/40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0.35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4.86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Style w:val="55"/>
                <w:rFonts w:hint="default" w:ascii="Times New Roman" w:hAnsi="Times New Roman" w:cs="Times New Roman"/>
                <w:color w:val="auto"/>
                <w:szCs w:val="28"/>
              </w:rPr>
              <w:t>包头百灵</w:t>
            </w:r>
            <w:r>
              <w:rPr>
                <w:rStyle w:val="50"/>
                <w:rFonts w:eastAsia="仿宋_GB2312"/>
                <w:color w:val="auto"/>
                <w:szCs w:val="28"/>
              </w:rPr>
              <w:t>10</w:t>
            </w:r>
            <w:r>
              <w:rPr>
                <w:rStyle w:val="55"/>
                <w:rFonts w:hint="default" w:ascii="Times New Roman" w:hAnsi="Times New Roman" w:cs="Times New Roman"/>
                <w:color w:val="auto"/>
                <w:szCs w:val="28"/>
              </w:rPr>
              <w:t>万千瓦</w:t>
            </w:r>
            <w:r>
              <w:rPr>
                <w:rStyle w:val="50"/>
                <w:rFonts w:eastAsia="仿宋_GB2312"/>
                <w:color w:val="auto"/>
                <w:szCs w:val="28"/>
              </w:rPr>
              <w:t>/40</w:t>
            </w:r>
            <w:r>
              <w:rPr>
                <w:rStyle w:val="55"/>
                <w:rFonts w:hint="default" w:ascii="Times New Roman" w:hAnsi="Times New Roman" w:cs="Times New Roman"/>
                <w:color w:val="auto"/>
                <w:szCs w:val="28"/>
              </w:rPr>
              <w:t>万千瓦时电网侧储能电站项目（中）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Style w:val="55"/>
                <w:rFonts w:hint="default" w:ascii="Times New Roman" w:hAnsi="Times New Roman" w:cs="Times New Roman"/>
                <w:color w:val="auto"/>
                <w:szCs w:val="28"/>
              </w:rPr>
              <w:t>内蒙古电力集团综合能源有限责任公司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磷酸铁锂(97.5%)</w:t>
            </w:r>
            <w:r>
              <w:rPr>
                <w:rStyle w:val="50"/>
                <w:rFonts w:eastAsia="仿宋_GB2312"/>
                <w:color w:val="auto"/>
                <w:szCs w:val="28"/>
              </w:rPr>
              <w:t>、</w:t>
            </w: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全钒液流(2.5%)</w:t>
            </w:r>
          </w:p>
        </w:tc>
        <w:tc>
          <w:tcPr>
            <w:tcW w:w="99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10/40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0.35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4.86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协鑫石拐区100MW/ 400MWh电网侧储能电站示范项目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土默特右旗协鑫储能能源科技有限公司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磷酸铁锂</w:t>
            </w: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(100%)</w:t>
            </w:r>
          </w:p>
        </w:tc>
        <w:tc>
          <w:tcPr>
            <w:tcW w:w="99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10/40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0.335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5.36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05" w:type="dxa"/>
            <w:vMerge w:val="restart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  <w:t>鄂尔多斯</w:t>
            </w:r>
          </w:p>
        </w:tc>
        <w:tc>
          <w:tcPr>
            <w:tcW w:w="3696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杭锦旗谷山梁电网侧智慧独立新型储能电站示范项目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远景能源有限公司、江阴远为新能源有限公司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Style w:val="50"/>
                <w:rFonts w:eastAsia="仿宋_GB2312"/>
                <w:color w:val="auto"/>
                <w:szCs w:val="28"/>
              </w:rPr>
              <w:t>磷酸铁锂</w:t>
            </w: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(100%)</w:t>
            </w:r>
          </w:p>
        </w:tc>
        <w:tc>
          <w:tcPr>
            <w:tcW w:w="99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10/40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0.35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鄂尔多斯谷山梁明阳智能100MW/ 400MWh电网侧储能电站示范项目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内蒙古明阳新能源开发有限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责任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公司、杭锦旗经开投资有限责任公司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Style w:val="50"/>
                <w:rFonts w:eastAsia="仿宋_GB2312"/>
                <w:color w:val="auto"/>
                <w:szCs w:val="28"/>
              </w:rPr>
              <w:t>磷酸铁锂</w:t>
            </w: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(100%)</w:t>
            </w:r>
          </w:p>
        </w:tc>
        <w:tc>
          <w:tcPr>
            <w:tcW w:w="99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10/40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0.35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4.91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鄂尔多斯万成功10万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千瓦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/40万千瓦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时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电网侧储能电站项目（东）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内蒙古电力集团综合能源有限责任公司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Style w:val="50"/>
                <w:rFonts w:eastAsia="仿宋_GB2312"/>
                <w:color w:val="auto"/>
                <w:szCs w:val="28"/>
              </w:rPr>
              <w:t>磷酸铁锂(97.5%)</w:t>
            </w: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、</w:t>
            </w:r>
            <w:r>
              <w:rPr>
                <w:rStyle w:val="50"/>
                <w:rFonts w:eastAsia="仿宋_GB2312"/>
                <w:color w:val="auto"/>
                <w:szCs w:val="28"/>
              </w:rPr>
              <w:t>水系液流(2.5%)</w:t>
            </w:r>
          </w:p>
        </w:tc>
        <w:tc>
          <w:tcPr>
            <w:tcW w:w="99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10/40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0.35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4.89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鄂尔多斯万成功10万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千瓦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/40万千瓦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时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电网侧储能电站项目（西）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内蒙古电力集团综合能源有限责任公司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Style w:val="50"/>
                <w:rFonts w:eastAsia="仿宋_GB2312"/>
                <w:color w:val="auto"/>
                <w:szCs w:val="28"/>
              </w:rPr>
              <w:t>磷酸铁锂(97.5%)</w:t>
            </w: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、</w:t>
            </w:r>
            <w:r>
              <w:rPr>
                <w:rStyle w:val="50"/>
                <w:rFonts w:eastAsia="仿宋_GB2312"/>
                <w:color w:val="auto"/>
                <w:szCs w:val="28"/>
              </w:rPr>
              <w:t>水系液流(2.5%)</w:t>
            </w:r>
          </w:p>
        </w:tc>
        <w:tc>
          <w:tcPr>
            <w:tcW w:w="99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10/40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0.35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4.89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0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  <w:t>乌兰察布</w:t>
            </w:r>
          </w:p>
        </w:tc>
        <w:tc>
          <w:tcPr>
            <w:tcW w:w="369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大规模压缩空气储能系统与关键装备研制及应用示范项目</w:t>
            </w:r>
          </w:p>
        </w:tc>
        <w:tc>
          <w:tcPr>
            <w:tcW w:w="311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国水集团化德风电有限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公司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压缩空气(60%)、磷酸铁锂(40%)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10/40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0.35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9.77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锂电池</w:t>
            </w: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</w:rPr>
              <w:t>2024</w:t>
            </w:r>
            <w:r>
              <w:rPr>
                <w:rStyle w:val="50"/>
                <w:rFonts w:eastAsia="仿宋_GB2312"/>
                <w:color w:val="auto"/>
              </w:rPr>
              <w:t>年</w:t>
            </w:r>
            <w:r>
              <w:rPr>
                <w:rStyle w:val="56"/>
                <w:rFonts w:hint="default" w:ascii="Times New Roman" w:hAnsi="Times New Roman" w:cs="Times New Roman"/>
              </w:rPr>
              <w:t>8</w:t>
            </w:r>
            <w:r>
              <w:rPr>
                <w:rStyle w:val="50"/>
                <w:rFonts w:eastAsia="仿宋_GB2312"/>
                <w:color w:val="auto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36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31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97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Style w:val="50"/>
                <w:rFonts w:eastAsia="仿宋_GB2312"/>
                <w:color w:val="auto"/>
              </w:rPr>
              <w:t>压缩空气</w:t>
            </w: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</w:rPr>
              <w:t>2025</w:t>
            </w:r>
            <w:r>
              <w:rPr>
                <w:rStyle w:val="50"/>
                <w:rFonts w:eastAsia="仿宋_GB2312"/>
                <w:color w:val="auto"/>
              </w:rPr>
              <w:t>年</w:t>
            </w:r>
            <w:r>
              <w:rPr>
                <w:rStyle w:val="56"/>
                <w:rFonts w:hint="default" w:ascii="Times New Roman" w:hAnsi="Times New Roman" w:cs="Times New Roman"/>
                <w:color w:val="auto"/>
              </w:rPr>
              <w:t>6</w:t>
            </w:r>
            <w:r>
              <w:rPr>
                <w:rStyle w:val="50"/>
                <w:rFonts w:eastAsia="仿宋_GB2312"/>
                <w:color w:val="auto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0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  <w:t>锡林郭勒</w:t>
            </w:r>
          </w:p>
        </w:tc>
        <w:tc>
          <w:tcPr>
            <w:tcW w:w="369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苏尼特右旗100MW/400MWh新型储能电站项目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苏尼特右旗景蓝新能源有限公司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磷酸铁锂</w:t>
            </w: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(100%)</w:t>
            </w:r>
          </w:p>
        </w:tc>
        <w:tc>
          <w:tcPr>
            <w:tcW w:w="99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10/40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0.35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河北建投新能源有限公司苏尼特左旗100MW/400MWh压缩空气储能1#示范项目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河北建投新能源有限公司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压缩空气</w:t>
            </w: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(100%)</w:t>
            </w:r>
          </w:p>
        </w:tc>
        <w:tc>
          <w:tcPr>
            <w:tcW w:w="99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10/40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0.35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10.54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2025年12月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0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  <w:t>巴彦淖尔</w:t>
            </w:r>
          </w:p>
        </w:tc>
        <w:tc>
          <w:tcPr>
            <w:tcW w:w="369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国家电投集团内蒙古新能源有限公司乌拉特中旗100MW /400MWh钠离子电池电网侧集中储能示范性项目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国家电投集团内蒙古新能源有限公司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钠离子</w:t>
            </w: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(100%)</w:t>
            </w:r>
          </w:p>
        </w:tc>
        <w:tc>
          <w:tcPr>
            <w:tcW w:w="99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10/40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乌拉特中旗德岭山新型储能电站项目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乌拉特中旗昭源新能源有限公司、乌拉特中旗鸿瑞能源投资有限公司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磷酸铁锂</w:t>
            </w: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(100%)</w:t>
            </w:r>
          </w:p>
        </w:tc>
        <w:tc>
          <w:tcPr>
            <w:tcW w:w="99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10/40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0.35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  <w:t>乌海</w:t>
            </w:r>
          </w:p>
        </w:tc>
        <w:tc>
          <w:tcPr>
            <w:tcW w:w="369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乌海市金湖独立储能电站项目一标段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远景能源有限公司、中国康富国际租赁股份有限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公司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磷酸铁锂</w:t>
            </w: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(100%)</w:t>
            </w:r>
          </w:p>
        </w:tc>
        <w:tc>
          <w:tcPr>
            <w:tcW w:w="99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10/40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0.35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  <w:t>阿拉善</w:t>
            </w:r>
          </w:p>
        </w:tc>
        <w:tc>
          <w:tcPr>
            <w:tcW w:w="369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阿左旗阿拉腾敖包变电站侧100MW /400MWh独立新型储能电站示范项目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上海融和元储能源有限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公司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磷酸铁锂(95%)、钠离子(5%)</w:t>
            </w:r>
          </w:p>
        </w:tc>
        <w:tc>
          <w:tcPr>
            <w:tcW w:w="99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10/40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0.35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5.05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  <w:t>通辽</w:t>
            </w:r>
          </w:p>
        </w:tc>
        <w:tc>
          <w:tcPr>
            <w:tcW w:w="369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明阳通辽科尔沁区100MW/ 400MWh独立储能示范项目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内蒙古明阳新能源开发有限责任公司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磷酸铁锂</w:t>
            </w: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(100%)</w:t>
            </w:r>
          </w:p>
        </w:tc>
        <w:tc>
          <w:tcPr>
            <w:tcW w:w="99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10/40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0.332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  <w:t>赤峰</w:t>
            </w:r>
          </w:p>
        </w:tc>
        <w:tc>
          <w:tcPr>
            <w:tcW w:w="369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大唐赤峰康家营150MW/600MWh电网侧独立新型储能电站示范项目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中国大唐集团有限公司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磷酸铁锂</w:t>
            </w: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(100%)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15/60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0.35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7.46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0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  <w:t>兴安盟</w:t>
            </w:r>
          </w:p>
        </w:tc>
        <w:tc>
          <w:tcPr>
            <w:tcW w:w="369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河北建投乌兰浩特市100MW /400MWh电网侧独立压缩空气储能电站一号示范项目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河北建投新能源有限公司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压缩空气</w:t>
            </w: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(100%)</w:t>
            </w:r>
          </w:p>
        </w:tc>
        <w:tc>
          <w:tcPr>
            <w:tcW w:w="99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10/40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0.35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10.56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2025年12月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中广核兴安盟阿尔山市20MW /160MWh电网侧独立储能电站示范项目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中广核风电有限公司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铁基液流</w:t>
            </w:r>
            <w:r>
              <w:rPr>
                <w:rStyle w:val="56"/>
                <w:rFonts w:hint="default" w:ascii="Times New Roman" w:hAnsi="Times New Roman" w:eastAsia="仿宋_GB2312" w:cs="Times New Roman"/>
                <w:color w:val="auto"/>
                <w:szCs w:val="28"/>
              </w:rPr>
              <w:t>(100%)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Style w:val="55"/>
                <w:rFonts w:hint="default" w:ascii="Times New Roman" w:hAnsi="Times New Roman" w:cs="Times New Roman"/>
                <w:color w:val="auto"/>
                <w:szCs w:val="28"/>
              </w:rPr>
              <w:t>2/16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0.35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4.64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2024年8月</w:t>
            </w:r>
          </w:p>
        </w:tc>
      </w:tr>
    </w:tbl>
    <w:p>
      <w:pPr>
        <w:rPr>
          <w:rFonts w:ascii="Times New Roman" w:hAnsi="Times New Roman" w:eastAsia="仿宋_GB2312" w:cs="Times New Roman"/>
        </w:rPr>
      </w:pPr>
    </w:p>
    <w:sectPr>
      <w:footerReference r:id="rId3" w:type="default"/>
      <w:pgSz w:w="16839" w:h="11907" w:orient="landscape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attachedTemplate r:id="rId1"/>
  <w:revisionView w:markup="0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4Zjg0N2NlMjlhNWE0OWFlZGNmNDBmMjQ5MjE1ZjMifQ=="/>
  </w:docVars>
  <w:rsids>
    <w:rsidRoot w:val="00C54E74"/>
    <w:rsid w:val="00001A2B"/>
    <w:rsid w:val="00003A74"/>
    <w:rsid w:val="000065B3"/>
    <w:rsid w:val="00013865"/>
    <w:rsid w:val="0002237E"/>
    <w:rsid w:val="00052ECB"/>
    <w:rsid w:val="000570F3"/>
    <w:rsid w:val="000576AB"/>
    <w:rsid w:val="00064E24"/>
    <w:rsid w:val="00076C41"/>
    <w:rsid w:val="00085CFF"/>
    <w:rsid w:val="000A37D1"/>
    <w:rsid w:val="000A50F9"/>
    <w:rsid w:val="000B7BD2"/>
    <w:rsid w:val="000C27CC"/>
    <w:rsid w:val="00105EB4"/>
    <w:rsid w:val="00106D6D"/>
    <w:rsid w:val="0012220A"/>
    <w:rsid w:val="001278FD"/>
    <w:rsid w:val="0013392B"/>
    <w:rsid w:val="0014193D"/>
    <w:rsid w:val="001705CC"/>
    <w:rsid w:val="001728B1"/>
    <w:rsid w:val="00181985"/>
    <w:rsid w:val="001935B8"/>
    <w:rsid w:val="001C41B1"/>
    <w:rsid w:val="001D077E"/>
    <w:rsid w:val="001D4202"/>
    <w:rsid w:val="001E4E5F"/>
    <w:rsid w:val="001E57B2"/>
    <w:rsid w:val="001F1347"/>
    <w:rsid w:val="001F65BE"/>
    <w:rsid w:val="00230C7A"/>
    <w:rsid w:val="00234089"/>
    <w:rsid w:val="0026057F"/>
    <w:rsid w:val="002743E1"/>
    <w:rsid w:val="00292C6E"/>
    <w:rsid w:val="00293538"/>
    <w:rsid w:val="00297D2A"/>
    <w:rsid w:val="002A1E78"/>
    <w:rsid w:val="002C06B3"/>
    <w:rsid w:val="002C3EC4"/>
    <w:rsid w:val="002E1FA8"/>
    <w:rsid w:val="003077FB"/>
    <w:rsid w:val="0031211E"/>
    <w:rsid w:val="00331A4A"/>
    <w:rsid w:val="00333ABC"/>
    <w:rsid w:val="00366CC0"/>
    <w:rsid w:val="00366EDF"/>
    <w:rsid w:val="00373243"/>
    <w:rsid w:val="00374C83"/>
    <w:rsid w:val="00375579"/>
    <w:rsid w:val="003D0B12"/>
    <w:rsid w:val="003E413D"/>
    <w:rsid w:val="003F3DFC"/>
    <w:rsid w:val="004022B7"/>
    <w:rsid w:val="00407523"/>
    <w:rsid w:val="00410258"/>
    <w:rsid w:val="00412771"/>
    <w:rsid w:val="004237DC"/>
    <w:rsid w:val="00430CB1"/>
    <w:rsid w:val="0044798F"/>
    <w:rsid w:val="0045222A"/>
    <w:rsid w:val="00452E11"/>
    <w:rsid w:val="00474698"/>
    <w:rsid w:val="00484D9A"/>
    <w:rsid w:val="004A1488"/>
    <w:rsid w:val="004F1307"/>
    <w:rsid w:val="005154CA"/>
    <w:rsid w:val="00532073"/>
    <w:rsid w:val="00535E9C"/>
    <w:rsid w:val="005617FF"/>
    <w:rsid w:val="005631BC"/>
    <w:rsid w:val="00570F64"/>
    <w:rsid w:val="00574CD2"/>
    <w:rsid w:val="005A219A"/>
    <w:rsid w:val="005A3919"/>
    <w:rsid w:val="005A66D1"/>
    <w:rsid w:val="005C0C35"/>
    <w:rsid w:val="005D3C5C"/>
    <w:rsid w:val="005E2BF0"/>
    <w:rsid w:val="00602493"/>
    <w:rsid w:val="00603863"/>
    <w:rsid w:val="00623ED7"/>
    <w:rsid w:val="0062552A"/>
    <w:rsid w:val="00636BEB"/>
    <w:rsid w:val="00653714"/>
    <w:rsid w:val="0066636B"/>
    <w:rsid w:val="00667B51"/>
    <w:rsid w:val="00667B6C"/>
    <w:rsid w:val="006A7CED"/>
    <w:rsid w:val="006C390D"/>
    <w:rsid w:val="006D693A"/>
    <w:rsid w:val="006E5373"/>
    <w:rsid w:val="006F293F"/>
    <w:rsid w:val="006F5537"/>
    <w:rsid w:val="007221C7"/>
    <w:rsid w:val="0072357A"/>
    <w:rsid w:val="007245CD"/>
    <w:rsid w:val="00736B1C"/>
    <w:rsid w:val="00774AED"/>
    <w:rsid w:val="0078320D"/>
    <w:rsid w:val="0079181F"/>
    <w:rsid w:val="007D3547"/>
    <w:rsid w:val="007E01CC"/>
    <w:rsid w:val="00804601"/>
    <w:rsid w:val="008151B6"/>
    <w:rsid w:val="00821644"/>
    <w:rsid w:val="008259D6"/>
    <w:rsid w:val="00830A19"/>
    <w:rsid w:val="008317F8"/>
    <w:rsid w:val="00832B38"/>
    <w:rsid w:val="008340DC"/>
    <w:rsid w:val="008475EF"/>
    <w:rsid w:val="00861FBE"/>
    <w:rsid w:val="0086261A"/>
    <w:rsid w:val="00881848"/>
    <w:rsid w:val="00882B59"/>
    <w:rsid w:val="00882E9B"/>
    <w:rsid w:val="00883D3C"/>
    <w:rsid w:val="0089347E"/>
    <w:rsid w:val="008A67B1"/>
    <w:rsid w:val="008F17A4"/>
    <w:rsid w:val="0093018F"/>
    <w:rsid w:val="00932143"/>
    <w:rsid w:val="00935889"/>
    <w:rsid w:val="00935F3E"/>
    <w:rsid w:val="00981AC2"/>
    <w:rsid w:val="00984175"/>
    <w:rsid w:val="009A0F20"/>
    <w:rsid w:val="009A4E99"/>
    <w:rsid w:val="009D0F8C"/>
    <w:rsid w:val="009E1683"/>
    <w:rsid w:val="009E76AA"/>
    <w:rsid w:val="009F075E"/>
    <w:rsid w:val="009F6B16"/>
    <w:rsid w:val="00A21A19"/>
    <w:rsid w:val="00A36132"/>
    <w:rsid w:val="00A37D38"/>
    <w:rsid w:val="00A41B0D"/>
    <w:rsid w:val="00A555F5"/>
    <w:rsid w:val="00A62A06"/>
    <w:rsid w:val="00A81C50"/>
    <w:rsid w:val="00A84765"/>
    <w:rsid w:val="00AA3E6D"/>
    <w:rsid w:val="00AA5C06"/>
    <w:rsid w:val="00AD4793"/>
    <w:rsid w:val="00AF043C"/>
    <w:rsid w:val="00AF7CD5"/>
    <w:rsid w:val="00B156EA"/>
    <w:rsid w:val="00B23A8E"/>
    <w:rsid w:val="00B504CE"/>
    <w:rsid w:val="00B55F0C"/>
    <w:rsid w:val="00B57610"/>
    <w:rsid w:val="00B61D2B"/>
    <w:rsid w:val="00B63F2E"/>
    <w:rsid w:val="00B8047D"/>
    <w:rsid w:val="00B85DB6"/>
    <w:rsid w:val="00BA161C"/>
    <w:rsid w:val="00BD557D"/>
    <w:rsid w:val="00BF19C8"/>
    <w:rsid w:val="00BF2945"/>
    <w:rsid w:val="00BF5BE0"/>
    <w:rsid w:val="00C11475"/>
    <w:rsid w:val="00C14A6C"/>
    <w:rsid w:val="00C27C58"/>
    <w:rsid w:val="00C348CD"/>
    <w:rsid w:val="00C54E74"/>
    <w:rsid w:val="00C67B32"/>
    <w:rsid w:val="00C72246"/>
    <w:rsid w:val="00C73287"/>
    <w:rsid w:val="00CC02DB"/>
    <w:rsid w:val="00D02F56"/>
    <w:rsid w:val="00D06B8A"/>
    <w:rsid w:val="00D1625C"/>
    <w:rsid w:val="00D54395"/>
    <w:rsid w:val="00D55922"/>
    <w:rsid w:val="00D6147C"/>
    <w:rsid w:val="00DB1EE1"/>
    <w:rsid w:val="00DB7198"/>
    <w:rsid w:val="00DB7997"/>
    <w:rsid w:val="00DC3C2A"/>
    <w:rsid w:val="00DC5565"/>
    <w:rsid w:val="00DC64BC"/>
    <w:rsid w:val="00DE35BF"/>
    <w:rsid w:val="00DF1CD9"/>
    <w:rsid w:val="00DF3671"/>
    <w:rsid w:val="00E06820"/>
    <w:rsid w:val="00E16382"/>
    <w:rsid w:val="00E2273D"/>
    <w:rsid w:val="00E245C1"/>
    <w:rsid w:val="00E704EF"/>
    <w:rsid w:val="00E74A7A"/>
    <w:rsid w:val="00E82EF0"/>
    <w:rsid w:val="00E92C98"/>
    <w:rsid w:val="00E9643F"/>
    <w:rsid w:val="00E9676E"/>
    <w:rsid w:val="00EA2CCD"/>
    <w:rsid w:val="00EF3AAD"/>
    <w:rsid w:val="00EF6299"/>
    <w:rsid w:val="00EF74E8"/>
    <w:rsid w:val="00F0626C"/>
    <w:rsid w:val="00F11995"/>
    <w:rsid w:val="00F378F9"/>
    <w:rsid w:val="00F7135A"/>
    <w:rsid w:val="00F71A79"/>
    <w:rsid w:val="00F8572F"/>
    <w:rsid w:val="00F91451"/>
    <w:rsid w:val="00FB4F1C"/>
    <w:rsid w:val="00FC1A93"/>
    <w:rsid w:val="00FC5AF8"/>
    <w:rsid w:val="00FC6E1E"/>
    <w:rsid w:val="00FD260B"/>
    <w:rsid w:val="00FF1138"/>
    <w:rsid w:val="00FF31F4"/>
    <w:rsid w:val="082F097C"/>
    <w:rsid w:val="0C8620B3"/>
    <w:rsid w:val="11664546"/>
    <w:rsid w:val="12AC6420"/>
    <w:rsid w:val="15E504EA"/>
    <w:rsid w:val="1B747EF0"/>
    <w:rsid w:val="211014F1"/>
    <w:rsid w:val="2235701A"/>
    <w:rsid w:val="2A6222E6"/>
    <w:rsid w:val="352E2A5A"/>
    <w:rsid w:val="3A327263"/>
    <w:rsid w:val="3CA07958"/>
    <w:rsid w:val="3ED61AE8"/>
    <w:rsid w:val="42AC6CCD"/>
    <w:rsid w:val="54EF32C4"/>
    <w:rsid w:val="552B06D0"/>
    <w:rsid w:val="5BEA64B1"/>
    <w:rsid w:val="5C176A0A"/>
    <w:rsid w:val="5F210F51"/>
    <w:rsid w:val="61265BEC"/>
    <w:rsid w:val="6D341D62"/>
    <w:rsid w:val="707F274A"/>
    <w:rsid w:val="73D117E8"/>
    <w:rsid w:val="F9D3D032"/>
    <w:rsid w:val="FDFF266D"/>
    <w:rsid w:val="FFB7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小标宋简体" w:hAnsi="宋体" w:eastAsia="方正小标宋简体" w:cs="宋体"/>
      <w:color w:val="000000"/>
      <w:kern w:val="0"/>
      <w:sz w:val="40"/>
      <w:szCs w:val="40"/>
    </w:rPr>
  </w:style>
  <w:style w:type="paragraph" w:customStyle="1" w:styleId="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1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color w:val="000000"/>
      <w:kern w:val="0"/>
      <w:sz w:val="28"/>
      <w:szCs w:val="28"/>
    </w:rPr>
  </w:style>
  <w:style w:type="paragraph" w:customStyle="1" w:styleId="11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8"/>
      <w:szCs w:val="28"/>
    </w:rPr>
  </w:style>
  <w:style w:type="paragraph" w:customStyle="1" w:styleId="1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color w:val="000000"/>
      <w:kern w:val="0"/>
      <w:sz w:val="28"/>
      <w:szCs w:val="28"/>
    </w:rPr>
  </w:style>
  <w:style w:type="paragraph" w:customStyle="1" w:styleId="15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8"/>
      <w:szCs w:val="28"/>
    </w:rPr>
  </w:style>
  <w:style w:type="paragraph" w:customStyle="1" w:styleId="16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17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18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40"/>
      <w:szCs w:val="40"/>
    </w:rPr>
  </w:style>
  <w:style w:type="paragraph" w:customStyle="1" w:styleId="20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1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22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23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24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8"/>
      <w:szCs w:val="28"/>
    </w:rPr>
  </w:style>
  <w:style w:type="paragraph" w:customStyle="1" w:styleId="25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26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27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28">
    <w:name w:val="et18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29">
    <w:name w:val="et19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30">
    <w:name w:val="et2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31">
    <w:name w:val="et2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32">
    <w:name w:val="et2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33">
    <w:name w:val="et2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34">
    <w:name w:val="et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35">
    <w:name w:val="et2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36">
    <w:name w:val="et3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37">
    <w:name w:val="et34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8"/>
      <w:szCs w:val="28"/>
    </w:rPr>
  </w:style>
  <w:style w:type="paragraph" w:customStyle="1" w:styleId="38">
    <w:name w:val="et35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39">
    <w:name w:val="et3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8"/>
      <w:szCs w:val="28"/>
    </w:rPr>
  </w:style>
  <w:style w:type="paragraph" w:customStyle="1" w:styleId="40">
    <w:name w:val="et3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8"/>
      <w:szCs w:val="28"/>
    </w:rPr>
  </w:style>
  <w:style w:type="paragraph" w:customStyle="1" w:styleId="41">
    <w:name w:val="et4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8"/>
      <w:szCs w:val="28"/>
    </w:rPr>
  </w:style>
  <w:style w:type="paragraph" w:customStyle="1" w:styleId="42">
    <w:name w:val="et4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3">
    <w:name w:val="et4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4">
    <w:name w:val="et5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5">
    <w:name w:val="et5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8"/>
      <w:szCs w:val="28"/>
    </w:rPr>
  </w:style>
  <w:style w:type="paragraph" w:customStyle="1" w:styleId="46">
    <w:name w:val="et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7">
    <w:name w:val="et6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8">
    <w:name w:val="et7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character" w:customStyle="1" w:styleId="49">
    <w:name w:val="font101"/>
    <w:basedOn w:val="6"/>
    <w:qFormat/>
    <w:uiPriority w:val="0"/>
    <w:rPr>
      <w:rFonts w:hint="eastAsia" w:ascii="黑体" w:hAnsi="黑体" w:eastAsia="黑体"/>
      <w:color w:val="000000"/>
      <w:sz w:val="24"/>
      <w:szCs w:val="24"/>
      <w:u w:val="none"/>
    </w:rPr>
  </w:style>
  <w:style w:type="character" w:customStyle="1" w:styleId="50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1">
    <w:name w:val="font51"/>
    <w:basedOn w:val="6"/>
    <w:qFormat/>
    <w:uiPriority w:val="0"/>
    <w:rPr>
      <w:rFonts w:hint="eastAsia" w:ascii="仿宋_GB2312" w:eastAsia="仿宋_GB2312"/>
      <w:color w:val="000000"/>
      <w:sz w:val="24"/>
      <w:szCs w:val="24"/>
      <w:u w:val="none"/>
    </w:rPr>
  </w:style>
  <w:style w:type="character" w:customStyle="1" w:styleId="52">
    <w:name w:val="font41"/>
    <w:basedOn w:val="6"/>
    <w:qFormat/>
    <w:uiPriority w:val="0"/>
    <w:rPr>
      <w:rFonts w:hint="eastAsia" w:ascii="仿宋_GB2312" w:eastAsia="仿宋_GB2312"/>
      <w:color w:val="000000"/>
      <w:sz w:val="24"/>
      <w:szCs w:val="24"/>
      <w:u w:val="none"/>
    </w:rPr>
  </w:style>
  <w:style w:type="character" w:customStyle="1" w:styleId="53">
    <w:name w:val="font71"/>
    <w:basedOn w:val="6"/>
    <w:qFormat/>
    <w:uiPriority w:val="0"/>
    <w:rPr>
      <w:rFonts w:hint="eastAsia" w:ascii="仿宋_GB2312" w:eastAsia="仿宋_GB2312"/>
      <w:b/>
      <w:bCs/>
      <w:color w:val="000000"/>
      <w:sz w:val="28"/>
      <w:szCs w:val="28"/>
      <w:u w:val="none"/>
    </w:rPr>
  </w:style>
  <w:style w:type="character" w:customStyle="1" w:styleId="54">
    <w:name w:val="font01"/>
    <w:basedOn w:val="6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55">
    <w:name w:val="font31"/>
    <w:basedOn w:val="6"/>
    <w:qFormat/>
    <w:uiPriority w:val="0"/>
    <w:rPr>
      <w:rFonts w:hint="eastAsia" w:ascii="仿宋_GB2312" w:eastAsia="仿宋_GB2312"/>
      <w:color w:val="000000"/>
      <w:sz w:val="24"/>
      <w:szCs w:val="24"/>
      <w:u w:val="none"/>
    </w:rPr>
  </w:style>
  <w:style w:type="character" w:customStyle="1" w:styleId="56">
    <w:name w:val="font11"/>
    <w:basedOn w:val="6"/>
    <w:qFormat/>
    <w:uiPriority w:val="0"/>
    <w:rPr>
      <w:rFonts w:hint="eastAsia" w:ascii="黑体" w:hAnsi="黑体" w:eastAsia="黑体"/>
      <w:color w:val="000000"/>
      <w:sz w:val="24"/>
      <w:szCs w:val="24"/>
      <w:u w:val="none"/>
    </w:rPr>
  </w:style>
  <w:style w:type="paragraph" w:customStyle="1" w:styleId="57">
    <w:name w:val="Heading #1|1"/>
    <w:basedOn w:val="1"/>
    <w:qFormat/>
    <w:uiPriority w:val="0"/>
    <w:pPr>
      <w:spacing w:after="300"/>
      <w:jc w:val="center"/>
      <w:outlineLvl w:val="0"/>
    </w:pPr>
    <w:rPr>
      <w:rFonts w:hint="eastAsia" w:ascii="宋体" w:hAnsi="宋体" w:eastAsia="宋体" w:cs="Times New Roman"/>
      <w:kern w:val="0"/>
      <w:sz w:val="42"/>
      <w:szCs w:val="42"/>
    </w:rPr>
  </w:style>
  <w:style w:type="character" w:customStyle="1" w:styleId="58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liulu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3</Pages>
  <Words>277</Words>
  <Characters>1583</Characters>
  <Lines>13</Lines>
  <Paragraphs>3</Paragraphs>
  <TotalTime>1</TotalTime>
  <ScaleCrop>false</ScaleCrop>
  <LinksUpToDate>false</LinksUpToDate>
  <CharactersWithSpaces>1857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2024-04-07T20:54:00Z</dcterms:created>
  <dc:creator>谢昶</dc:creator>
  <cp:lastModifiedBy>liulu</cp:lastModifiedBy>
  <cp:lastPrinted>2024-04-08T10:50:00Z</cp:lastPrinted>
  <dcterms:modified xsi:type="dcterms:W3CDTF">2024-04-10T10:52:12Z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3887EAF4EFA34152BFFAE390FABB69BB_13</vt:lpwstr>
  </property>
</Properties>
</file>